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关于冠县2022年地方政府债务限额及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县级预算调整方案（草案）的报告</w:t>
      </w:r>
    </w:p>
    <w:p>
      <w:pPr>
        <w:pStyle w:val="12"/>
        <w:spacing w:line="700" w:lineRule="exact"/>
        <w:ind w:left="420" w:hanging="420" w:firstLineChars="0"/>
        <w:jc w:val="center"/>
        <w:rPr>
          <w:rFonts w:ascii="楷体_GB2312" w:hAnsi="Calibri" w:eastAsia="楷体_GB2312" w:cs="Times New Roman"/>
          <w:sz w:val="30"/>
          <w:szCs w:val="30"/>
        </w:rPr>
      </w:pPr>
      <w:r>
        <w:rPr>
          <w:rFonts w:hint="eastAsia" w:ascii="楷体_GB2312" w:hAnsi="Calibri" w:eastAsia="楷体_GB2312" w:cs="Times New Roman"/>
          <w:sz w:val="30"/>
          <w:szCs w:val="30"/>
        </w:rPr>
        <w:t>—20</w:t>
      </w:r>
      <w:r>
        <w:rPr>
          <w:rFonts w:ascii="楷体_GB2312" w:hAnsi="Calibri" w:eastAsia="楷体_GB2312" w:cs="Times New Roman"/>
          <w:sz w:val="30"/>
          <w:szCs w:val="30"/>
        </w:rPr>
        <w:t>2</w:t>
      </w:r>
      <w:r>
        <w:rPr>
          <w:rFonts w:hint="eastAsia" w:ascii="楷体_GB2312" w:hAnsi="Calibri" w:eastAsia="楷体_GB2312" w:cs="Times New Roman"/>
          <w:sz w:val="30"/>
          <w:szCs w:val="30"/>
        </w:rPr>
        <w:t>2年</w:t>
      </w:r>
      <w:r>
        <w:rPr>
          <w:rFonts w:ascii="楷体_GB2312" w:hAnsi="Calibri" w:eastAsia="楷体_GB2312" w:cs="Times New Roman"/>
          <w:sz w:val="30"/>
          <w:szCs w:val="30"/>
        </w:rPr>
        <w:t>12</w:t>
      </w:r>
      <w:r>
        <w:rPr>
          <w:rFonts w:hint="eastAsia" w:ascii="楷体_GB2312" w:hAnsi="Calibri" w:eastAsia="楷体_GB2312" w:cs="Times New Roman"/>
          <w:sz w:val="30"/>
          <w:szCs w:val="30"/>
        </w:rPr>
        <w:t>月</w:t>
      </w:r>
      <w:r>
        <w:rPr>
          <w:rFonts w:ascii="楷体_GB2312" w:hAnsi="Calibri" w:eastAsia="楷体_GB2312" w:cs="Times New Roman"/>
          <w:sz w:val="30"/>
          <w:szCs w:val="30"/>
        </w:rPr>
        <w:t>30</w:t>
      </w:r>
      <w:r>
        <w:rPr>
          <w:rFonts w:hint="eastAsia" w:ascii="楷体_GB2312" w:hAnsi="Calibri" w:eastAsia="楷体_GB2312" w:cs="Times New Roman"/>
          <w:sz w:val="30"/>
          <w:szCs w:val="30"/>
        </w:rPr>
        <w:t>日在冠县十八届人大常委会第六次会议上</w:t>
      </w:r>
    </w:p>
    <w:p>
      <w:pPr>
        <w:pStyle w:val="12"/>
        <w:spacing w:line="700" w:lineRule="exact"/>
        <w:ind w:left="420" w:hanging="420" w:firstLineChars="0"/>
        <w:jc w:val="center"/>
        <w:rPr>
          <w:rFonts w:ascii="楷体_GB2312" w:hAnsi="Calibri" w:eastAsia="楷体_GB2312" w:cs="Times New Roman"/>
          <w:sz w:val="30"/>
          <w:szCs w:val="30"/>
        </w:rPr>
      </w:pPr>
      <w:r>
        <w:rPr>
          <w:rFonts w:hint="eastAsia" w:ascii="楷体_GB2312" w:hAnsi="Calibri" w:eastAsia="楷体_GB2312" w:cs="Times New Roman"/>
          <w:sz w:val="30"/>
          <w:szCs w:val="30"/>
        </w:rPr>
        <w:t xml:space="preserve">冠县财政局局长   </w:t>
      </w:r>
      <w:r>
        <w:rPr>
          <w:rFonts w:hint="eastAsia" w:ascii="楷体" w:hAnsi="楷体" w:eastAsia="楷体" w:cs="宋体"/>
          <w:sz w:val="30"/>
          <w:szCs w:val="30"/>
        </w:rPr>
        <w:t>贠</w:t>
      </w:r>
      <w:r>
        <w:rPr>
          <w:rFonts w:hint="eastAsia" w:ascii="楷体" w:hAnsi="楷体" w:eastAsia="楷体" w:cs="楷体_GB2312"/>
          <w:sz w:val="30"/>
          <w:szCs w:val="30"/>
        </w:rPr>
        <w:t>庆臣</w:t>
      </w:r>
    </w:p>
    <w:p>
      <w:pPr>
        <w:pStyle w:val="12"/>
        <w:spacing w:line="700" w:lineRule="exact"/>
        <w:ind w:left="420" w:hanging="420" w:firstLineChars="0"/>
        <w:jc w:val="center"/>
        <w:rPr>
          <w:rFonts w:ascii="楷体_GB2312" w:hAnsi="Calibri" w:eastAsia="楷体_GB2312" w:cs="Times New Roman"/>
          <w:sz w:val="30"/>
          <w:szCs w:val="30"/>
        </w:rPr>
      </w:pPr>
    </w:p>
    <w:p>
      <w:pPr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主任、各位副主任、各位委员：</w:t>
      </w:r>
    </w:p>
    <w:p>
      <w:pPr>
        <w:ind w:firstLine="563" w:firstLineChars="176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受县政府委托，现将2022年地方政府债务限额及县级预算调整方案（草案）报告如下，请予审议。</w:t>
      </w:r>
    </w:p>
    <w:p>
      <w:pPr>
        <w:ind w:firstLine="563" w:firstLineChars="176"/>
        <w:rPr>
          <w:rFonts w:ascii="黑体" w:hAnsi="宋体" w:eastAsia="黑体" w:cs="楷体_GB2312"/>
          <w:color w:val="000000"/>
          <w:sz w:val="32"/>
          <w:szCs w:val="32"/>
        </w:rPr>
      </w:pPr>
      <w:r>
        <w:rPr>
          <w:rFonts w:hint="eastAsia" w:ascii="黑体" w:hAnsi="宋体" w:eastAsia="黑体" w:cs="楷体_GB2312"/>
          <w:color w:val="000000"/>
          <w:sz w:val="32"/>
          <w:szCs w:val="32"/>
        </w:rPr>
        <w:t>一、2022年冠县地方政府债务限额调整方案</w:t>
      </w:r>
    </w:p>
    <w:p>
      <w:pPr>
        <w:ind w:firstLine="563" w:firstLineChars="176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省财政厅核定我县2022年政府债务总限额83.48亿元，具体构成为：</w:t>
      </w:r>
      <w:r>
        <w:rPr>
          <w:rFonts w:hint="eastAsia" w:ascii="仿宋_GB2312" w:hAnsi="仿宋" w:eastAsia="仿宋_GB2312" w:cs="仿宋_GB2312"/>
          <w:b/>
          <w:color w:val="000000"/>
          <w:sz w:val="32"/>
          <w:szCs w:val="32"/>
        </w:rPr>
        <w:t>一是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2021年政府债务总限额67.52亿元；</w:t>
      </w:r>
      <w:r>
        <w:rPr>
          <w:rFonts w:hint="eastAsia" w:ascii="仿宋_GB2312" w:hAnsi="仿宋" w:eastAsia="仿宋_GB2312" w:cs="仿宋_GB2312"/>
          <w:b/>
          <w:color w:val="000000"/>
          <w:sz w:val="32"/>
          <w:szCs w:val="32"/>
        </w:rPr>
        <w:t>二是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2022年新增政府债务限额16.21亿元；</w:t>
      </w:r>
      <w:r>
        <w:rPr>
          <w:rFonts w:hint="eastAsia" w:ascii="仿宋_GB2312" w:hAnsi="仿宋" w:eastAsia="仿宋_GB2312" w:cs="仿宋_GB2312"/>
          <w:b/>
          <w:color w:val="000000"/>
          <w:sz w:val="32"/>
          <w:szCs w:val="32"/>
        </w:rPr>
        <w:t>三是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省财政厅收回2019-2021年形成限额空间0.55亿元；</w:t>
      </w:r>
      <w:r>
        <w:rPr>
          <w:rFonts w:hint="eastAsia" w:ascii="仿宋_GB2312" w:hAnsi="仿宋" w:eastAsia="仿宋_GB2312" w:cs="仿宋_GB2312"/>
          <w:b/>
          <w:color w:val="000000"/>
          <w:sz w:val="32"/>
          <w:szCs w:val="32"/>
        </w:rPr>
        <w:t>四是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专项债务限额空间重新分配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0.3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亿元。</w:t>
      </w:r>
    </w:p>
    <w:p>
      <w:pPr>
        <w:ind w:firstLine="563" w:firstLineChars="176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以省财政核定数即“满限”确定政府债务总限额，有利于释放积极财政政策信号，增加有效投资，促进经济社会持续健康发展。建议根据省财政厅核定数，满限确定2022年我县政府债务总限额为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83.48</w:t>
      </w:r>
      <w:r>
        <w:rPr>
          <w:rFonts w:hint="eastAsia" w:ascii="仿宋_GB2312" w:hAnsi="仿宋" w:eastAsia="仿宋_GB2312" w:cs="仿宋_GB2312"/>
          <w:sz w:val="32"/>
          <w:szCs w:val="32"/>
        </w:rPr>
        <w:t>亿元，其中：一般债务限额7.66亿元，专项债务限额75.82亿元。</w:t>
      </w:r>
    </w:p>
    <w:p>
      <w:pPr>
        <w:ind w:firstLine="563" w:firstLineChars="176"/>
        <w:rPr>
          <w:rFonts w:ascii="黑体" w:hAnsi="宋体" w:eastAsia="黑体" w:cs="楷体_GB2312"/>
          <w:color w:val="000000"/>
          <w:sz w:val="32"/>
          <w:szCs w:val="32"/>
        </w:rPr>
      </w:pPr>
      <w:r>
        <w:rPr>
          <w:rFonts w:hint="eastAsia" w:ascii="黑体" w:hAnsi="宋体" w:eastAsia="黑体" w:cs="楷体_GB2312"/>
          <w:color w:val="000000"/>
          <w:sz w:val="32"/>
          <w:szCs w:val="32"/>
        </w:rPr>
        <w:t>二、一般公共预算调整方案</w:t>
      </w:r>
    </w:p>
    <w:p>
      <w:pPr>
        <w:ind w:firstLine="565" w:firstLineChars="176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（一）一般公共预算调整原因</w:t>
      </w:r>
    </w:p>
    <w:p>
      <w:pPr>
        <w:ind w:firstLine="563" w:firstLineChars="176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一是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今年以来，中央陆续出台</w:t>
      </w:r>
      <w:r>
        <w:rPr>
          <w:rFonts w:hint="eastAsia" w:ascii="仿宋_GB2312" w:eastAsia="仿宋_GB2312"/>
          <w:sz w:val="32"/>
          <w:szCs w:val="32"/>
        </w:rPr>
        <w:t>组合式税收优惠政策，我县重点行业以制造业为主，中小微企业占比高，受减税退税缓税政策影响范围大，预计一般公共预算收入比预算数减收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；二是</w:t>
      </w:r>
      <w:r>
        <w:rPr>
          <w:rFonts w:hint="eastAsia" w:ascii="仿宋_GB2312" w:hAnsi="仿宋" w:eastAsia="仿宋_GB2312"/>
          <w:sz w:val="32"/>
          <w:szCs w:val="32"/>
        </w:rPr>
        <w:t>按照党中央、国务院决策部署和省委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省政府工作安排，我县积极争取上级转移支付资金，弥补县级财力缺口，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转移支付收入比预算数有所增加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；三是省财政厅发行我县一般再融资债券资金，用于偿还以往年度债务本金支出，置换出我县一般公共预算财力用于本级支出；四是受房地产市场低迷影响，国有土地使用权出让收入减收，调入一般公共预算减少。</w:t>
      </w:r>
    </w:p>
    <w:p>
      <w:pPr>
        <w:ind w:firstLine="565" w:firstLineChars="176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（二）一般公共预算收入调整方案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原县级总收入453694万元，调增38614万元，调整为492308万元。具体为：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1．原县级收入预算133490万元，减少4890万元，调整为128600万元。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2．原县级转移性收入320204万元，增加33004万元，调整为353208万元。其中：一般性转移支付收入增加40000万元，专项转移支付收入减少2000万元，调入资金减少5000万元，上年结转收入增加4万元。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3. 地方政府一般债券转贷收入增加10500万元，其中再融资一般债券10500万元。</w:t>
      </w:r>
    </w:p>
    <w:p>
      <w:pPr>
        <w:ind w:firstLine="565" w:firstLineChars="176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（三）一般公共预算支出调整方案</w:t>
      </w:r>
    </w:p>
    <w:p>
      <w:pPr>
        <w:ind w:firstLine="563" w:firstLineChars="176"/>
        <w:rPr>
          <w:rFonts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原县级总支出453694万元，调增38614万元，调整为492308万元。具体为：</w:t>
      </w:r>
    </w:p>
    <w:p>
      <w:pPr>
        <w:ind w:firstLine="563" w:firstLineChars="176"/>
        <w:rPr>
          <w:rFonts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1．原一般公共预算支出预算411497万元，调增27614万元，调整为439111万元。主要是：增加的上级转移支付补助按上级要求安排支出，再融资一般债券置换财力及调入资金安排调整支出，主要用于部分民生支出提标、行政事业单位增资、疫情防控等支出。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2．原县级转移性支出42197万元，调增11000万元，调整为53197万元，主要是结转下年支出增加，因为按照收付实现制记账规则，下达部门未形成实际支出的指标，需收回财政反映结转</w:t>
      </w:r>
      <w:r>
        <w:rPr>
          <w:rFonts w:hint="eastAsia" w:ascii="仿宋_GB2312" w:hAnsi="仿宋" w:eastAsia="仿宋_GB2312" w:cs="仿宋_GB2312"/>
          <w:sz w:val="32"/>
          <w:szCs w:val="32"/>
        </w:rPr>
        <w:t>。</w:t>
      </w:r>
    </w:p>
    <w:p>
      <w:pPr>
        <w:ind w:firstLine="563" w:firstLineChars="176"/>
        <w:rPr>
          <w:rFonts w:ascii="黑体" w:hAnsi="宋体" w:eastAsia="黑体" w:cs="楷体_GB2312"/>
          <w:color w:val="000000"/>
          <w:sz w:val="32"/>
          <w:szCs w:val="32"/>
        </w:rPr>
      </w:pPr>
      <w:r>
        <w:rPr>
          <w:rFonts w:hint="eastAsia" w:ascii="黑体" w:hAnsi="宋体" w:eastAsia="黑体" w:cs="楷体_GB2312"/>
          <w:color w:val="000000"/>
          <w:sz w:val="32"/>
          <w:szCs w:val="32"/>
        </w:rPr>
        <w:t>三、政府性基金预算调整方案</w:t>
      </w:r>
    </w:p>
    <w:p>
      <w:pPr>
        <w:ind w:firstLine="565" w:firstLineChars="176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（一）政府性基金预算调整原因</w:t>
      </w:r>
    </w:p>
    <w:p>
      <w:pPr>
        <w:ind w:firstLine="563" w:firstLineChars="176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一是随着</w:t>
      </w:r>
      <w:r>
        <w:rPr>
          <w:rFonts w:hint="eastAsia" w:ascii="仿宋_GB2312" w:eastAsia="仿宋_GB2312"/>
          <w:sz w:val="32"/>
          <w:szCs w:val="32"/>
        </w:rPr>
        <w:t>受房地产业持续低迷影响，土地出让进度缓慢，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部分政府性基金减收较多；二是政府性基金上级补助收入增加；三是省财政厅发行我县专项再融资债券资金5300万元，用于偿还以往年度债务本金支出，置换出我县政府性基金财力5300万元用于本级支出；四是政府新增专项债券资金增加，需安排支出。根据需要相应调整政府性基金收支预算。</w:t>
      </w:r>
    </w:p>
    <w:p>
      <w:pPr>
        <w:ind w:firstLine="565" w:firstLineChars="176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（二）政府性基金预算收入调整方案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原县级总收入347185万元，调减7701万元，调整为339484万元，具体为：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1．原县级收入预算262450万元，减少119400万元，调整为143050万元。主要项目为：一是国有土地使用权出让收入减收125000万元；二是城市基础设施配套费收入减少800万元；污水处理费收入减收300万元，专项债券对应项目专项收入增加10200万元。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 xml:space="preserve">2．原县级转移性收入12535万元，增加13499万元，调整为26034万元。其中：上级补助增加13500万元。 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3．原地方政府专项债券转贷收入72200万元，增加98200万元，调整为170400万元，其中再融资专项债券5300万元，新增专项债券92900万元。</w:t>
      </w:r>
    </w:p>
    <w:p>
      <w:pPr>
        <w:ind w:firstLine="565" w:firstLineChars="176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（三）政府性基金预算支出调整方案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原县级总支出347185万元，调减7701万元，调整为339484万元，具体为：</w:t>
      </w:r>
    </w:p>
    <w:p>
      <w:pPr>
        <w:ind w:firstLine="563" w:firstLineChars="176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1.原政府性基金预算支出291695万元，减少14590万元，调整为277105万元。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2.原转移性支出55490万元，增加6889万元，调整为62379万元。其中：调出资金减少10000万元，结转下年支出增加16889万元。</w:t>
      </w:r>
    </w:p>
    <w:p>
      <w:pPr>
        <w:ind w:firstLine="563" w:firstLineChars="176"/>
        <w:rPr>
          <w:rFonts w:ascii="黑体" w:hAnsi="宋体" w:eastAsia="黑体" w:cs="楷体_GB2312"/>
          <w:color w:val="000000"/>
          <w:sz w:val="32"/>
          <w:szCs w:val="32"/>
        </w:rPr>
      </w:pPr>
      <w:r>
        <w:rPr>
          <w:rFonts w:hint="eastAsia" w:ascii="黑体" w:hAnsi="宋体" w:eastAsia="黑体" w:cs="楷体_GB2312"/>
          <w:color w:val="000000"/>
          <w:sz w:val="32"/>
          <w:szCs w:val="32"/>
        </w:rPr>
        <w:t>四、社会保险基金预算调整方案</w:t>
      </w:r>
    </w:p>
    <w:p>
      <w:pPr>
        <w:ind w:firstLine="565" w:firstLineChars="176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color w:val="000000"/>
          <w:sz w:val="32"/>
          <w:szCs w:val="32"/>
        </w:rPr>
        <w:t>（一）社会保险基金调整原因</w:t>
      </w:r>
    </w:p>
    <w:p>
      <w:pPr>
        <w:ind w:firstLine="563" w:firstLineChars="176"/>
        <w:rPr>
          <w:rFonts w:ascii="楷体_GB2312" w:eastAsia="楷体_GB2312" w:cs="楷体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</w:rPr>
        <w:t>《关于提高全市居民基本养老保险基础养老金最低标准的通知》（聊人社字[2022]35号）通知要求，自2022年7月1日起，全市居民养老保险基础养老金标准由每人每月150元提高到160元，我县待遇领取人数138797人。</w:t>
      </w:r>
    </w:p>
    <w:p>
      <w:pPr>
        <w:ind w:firstLine="565" w:firstLineChars="176"/>
        <w:rPr>
          <w:rFonts w:ascii="仿宋_GB2312" w:eastAsia="仿宋_GB2312" w:cs="楷体_GB2312"/>
          <w:b/>
          <w:color w:val="000000"/>
          <w:sz w:val="32"/>
          <w:szCs w:val="32"/>
        </w:rPr>
      </w:pPr>
      <w:r>
        <w:rPr>
          <w:rFonts w:hint="eastAsia" w:ascii="仿宋_GB2312" w:eastAsia="仿宋_GB2312" w:cs="楷体_GB2312"/>
          <w:b/>
          <w:color w:val="000000"/>
          <w:sz w:val="32"/>
          <w:szCs w:val="32"/>
        </w:rPr>
        <w:t>（二）社会保险基金预算收入调整方案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 w:cs="楷体_GB2312"/>
          <w:color w:val="000000"/>
          <w:sz w:val="32"/>
          <w:szCs w:val="32"/>
        </w:rPr>
        <w:t>原社会保险基金收入75421万元，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增加</w:t>
      </w:r>
      <w:r>
        <w:rPr>
          <w:rFonts w:hint="eastAsia" w:ascii="仿宋_GB2312" w:eastAsia="仿宋_GB2312" w:cs="楷体_GB2312"/>
          <w:color w:val="000000"/>
          <w:sz w:val="32"/>
          <w:szCs w:val="32"/>
        </w:rPr>
        <w:t>833万元，调整为76254万元。其中城乡居民基本养老保险财政补贴</w:t>
      </w:r>
      <w:r>
        <w:rPr>
          <w:rFonts w:hint="eastAsia" w:ascii="仿宋_GB2312" w:hAnsi="仿宋_GB2312" w:eastAsia="仿宋_GB2312" w:cs="仿宋_GB2312"/>
          <w:sz w:val="32"/>
          <w:szCs w:val="32"/>
        </w:rPr>
        <w:t>收入增加</w:t>
      </w:r>
      <w:r>
        <w:rPr>
          <w:rFonts w:ascii="仿宋_GB2312" w:hAnsi="仿宋_GB2312" w:eastAsia="仿宋_GB2312" w:cs="仿宋_GB2312"/>
          <w:sz w:val="32"/>
          <w:szCs w:val="32"/>
        </w:rPr>
        <w:t>83</w:t>
      </w:r>
      <w:r>
        <w:rPr>
          <w:rFonts w:hint="eastAsia" w:ascii="仿宋_GB2312" w:hAnsi="仿宋_GB2312" w:eastAsia="仿宋_GB2312" w:cs="仿宋_GB2312"/>
          <w:sz w:val="32"/>
          <w:szCs w:val="32"/>
        </w:rPr>
        <w:t>3万元。</w:t>
      </w:r>
    </w:p>
    <w:p>
      <w:pPr>
        <w:ind w:firstLine="565" w:firstLineChars="176"/>
        <w:rPr>
          <w:rFonts w:ascii="仿宋_GB2312" w:eastAsia="仿宋_GB2312" w:cs="楷体_GB2312"/>
          <w:b/>
          <w:color w:val="000000"/>
          <w:sz w:val="32"/>
          <w:szCs w:val="32"/>
        </w:rPr>
      </w:pPr>
      <w:r>
        <w:rPr>
          <w:rFonts w:hint="eastAsia" w:ascii="仿宋_GB2312" w:eastAsia="仿宋_GB2312" w:cs="楷体_GB2312"/>
          <w:b/>
          <w:color w:val="000000"/>
          <w:sz w:val="32"/>
          <w:szCs w:val="32"/>
        </w:rPr>
        <w:t>（三）社会保险基金预算支出调整方案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 w:cs="楷体_GB2312"/>
          <w:color w:val="000000"/>
          <w:sz w:val="32"/>
          <w:szCs w:val="32"/>
        </w:rPr>
        <w:t>原社会保险基金支出65442万元，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增加</w:t>
      </w:r>
      <w:r>
        <w:rPr>
          <w:rFonts w:hint="eastAsia" w:ascii="仿宋_GB2312" w:eastAsia="仿宋_GB2312" w:cs="楷体_GB2312"/>
          <w:color w:val="000000"/>
          <w:sz w:val="32"/>
          <w:szCs w:val="32"/>
        </w:rPr>
        <w:t>833万元，调整为66275万元。其中城乡居民基本养老保险基金支出</w:t>
      </w:r>
      <w:r>
        <w:rPr>
          <w:rFonts w:hint="eastAsia" w:ascii="仿宋_GB2312" w:hAnsi="仿宋_GB2312" w:eastAsia="仿宋_GB2312" w:cs="仿宋_GB2312"/>
          <w:sz w:val="32"/>
          <w:szCs w:val="32"/>
        </w:rPr>
        <w:t>增加</w:t>
      </w:r>
      <w:r>
        <w:rPr>
          <w:rFonts w:ascii="仿宋_GB2312" w:hAnsi="仿宋_GB2312" w:eastAsia="仿宋_GB2312" w:cs="仿宋_GB2312"/>
          <w:sz w:val="32"/>
          <w:szCs w:val="32"/>
        </w:rPr>
        <w:t>83</w:t>
      </w:r>
      <w:r>
        <w:rPr>
          <w:rFonts w:hint="eastAsia" w:ascii="仿宋_GB2312" w:hAnsi="仿宋_GB2312" w:eastAsia="仿宋_GB2312" w:cs="仿宋_GB2312"/>
          <w:sz w:val="32"/>
          <w:szCs w:val="32"/>
        </w:rPr>
        <w:t>3万元。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主任、各位副主任、各位委员，以上报告，请予审议。</w:t>
      </w:r>
    </w:p>
    <w:p>
      <w:pPr>
        <w:ind w:firstLine="563" w:firstLineChars="176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以上收支预算具体调整情况，详见附件。</w:t>
      </w:r>
    </w:p>
    <w:p>
      <w:pPr>
        <w:ind w:firstLine="566" w:firstLineChars="177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附件：1.2022年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冠县一般公共预算收入调整预算草案表</w:t>
      </w:r>
    </w:p>
    <w:p>
      <w:pPr>
        <w:ind w:firstLine="1558" w:firstLineChars="487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2.2022年冠县一般公共预算支出调整预算草案表</w:t>
      </w:r>
    </w:p>
    <w:p>
      <w:pPr>
        <w:ind w:firstLine="1558" w:firstLineChars="487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3.2022年冠县政府性基金收入调整预算草案表</w:t>
      </w:r>
    </w:p>
    <w:p>
      <w:pPr>
        <w:ind w:firstLine="1558" w:firstLineChars="487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4.2022年冠县政府性</w:t>
      </w:r>
      <w:bookmarkStart w:id="0" w:name="_GoBack"/>
      <w:bookmarkEnd w:id="0"/>
      <w:r>
        <w:rPr>
          <w:rFonts w:hint="eastAsia" w:ascii="仿宋_GB2312" w:hAnsi="仿宋" w:eastAsia="仿宋_GB2312" w:cs="宋体"/>
          <w:kern w:val="0"/>
          <w:sz w:val="32"/>
          <w:szCs w:val="32"/>
        </w:rPr>
        <w:t>基金支出调整预算草案表</w:t>
      </w:r>
    </w:p>
    <w:p>
      <w:pPr>
        <w:ind w:firstLine="1558" w:firstLineChars="487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5.2022年冠县社会保险基金收入调整预算草案表</w:t>
      </w:r>
    </w:p>
    <w:p>
      <w:pPr>
        <w:ind w:firstLine="1558" w:firstLineChars="487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6.2022年冠县社会保险基金支出调整预算草案表</w:t>
      </w:r>
    </w:p>
    <w:p>
      <w:pPr>
        <w:ind w:firstLine="1558" w:firstLineChars="487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7.2022年新增政府专项债券资金安排支出情况表</w:t>
      </w:r>
    </w:p>
    <w:p>
      <w:pPr>
        <w:ind w:firstLine="992" w:firstLineChars="310"/>
        <w:jc w:val="right"/>
        <w:rPr>
          <w:rFonts w:ascii="仿宋_GB2312" w:hAnsi="仿宋" w:eastAsia="仿宋_GB2312" w:cs="楷体_GB2312"/>
          <w:color w:val="000000"/>
          <w:sz w:val="32"/>
          <w:szCs w:val="32"/>
          <w:highlight w:val="yellow"/>
        </w:rPr>
      </w:pPr>
    </w:p>
    <w:p>
      <w:pPr>
        <w:wordWrap w:val="0"/>
        <w:ind w:firstLine="992" w:firstLineChars="310"/>
        <w:jc w:val="right"/>
        <w:rPr>
          <w:rFonts w:ascii="仿宋_GB2312" w:hAnsi="仿宋" w:eastAsia="仿宋_GB2312" w:cs="楷体_GB2312"/>
          <w:color w:val="000000"/>
          <w:sz w:val="32"/>
          <w:szCs w:val="32"/>
        </w:rPr>
      </w:pP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2022年12月</w:t>
      </w:r>
      <w:r>
        <w:rPr>
          <w:rFonts w:ascii="仿宋_GB2312" w:hAnsi="仿宋" w:eastAsia="仿宋_GB2312" w:cs="楷体_GB2312"/>
          <w:color w:val="000000"/>
          <w:sz w:val="32"/>
          <w:szCs w:val="32"/>
        </w:rPr>
        <w:t>30</w:t>
      </w:r>
      <w:r>
        <w:rPr>
          <w:rFonts w:hint="eastAsia" w:ascii="仿宋_GB2312" w:hAnsi="仿宋" w:eastAsia="仿宋_GB2312" w:cs="楷体_GB2312"/>
          <w:color w:val="000000"/>
          <w:sz w:val="32"/>
          <w:szCs w:val="32"/>
        </w:rPr>
        <w:t>日</w:t>
      </w:r>
    </w:p>
    <w:sectPr>
      <w:footerReference r:id="rId3" w:type="default"/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249715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YmE2ZDc4ZmMyMzBlYzAzZTM4MTFjOTc4M2IxYzUifQ=="/>
  </w:docVars>
  <w:rsids>
    <w:rsidRoot w:val="00385596"/>
    <w:rsid w:val="00013BC0"/>
    <w:rsid w:val="00015F86"/>
    <w:rsid w:val="00017F8F"/>
    <w:rsid w:val="00022512"/>
    <w:rsid w:val="00053AC6"/>
    <w:rsid w:val="0006206A"/>
    <w:rsid w:val="00073BC5"/>
    <w:rsid w:val="00074B89"/>
    <w:rsid w:val="00080C02"/>
    <w:rsid w:val="000853B4"/>
    <w:rsid w:val="00094A69"/>
    <w:rsid w:val="000A6C83"/>
    <w:rsid w:val="000F03B3"/>
    <w:rsid w:val="000F4B10"/>
    <w:rsid w:val="0010565A"/>
    <w:rsid w:val="001063C2"/>
    <w:rsid w:val="00106DA4"/>
    <w:rsid w:val="0010755C"/>
    <w:rsid w:val="00135D3D"/>
    <w:rsid w:val="001415B9"/>
    <w:rsid w:val="00150E01"/>
    <w:rsid w:val="00151993"/>
    <w:rsid w:val="00151DEF"/>
    <w:rsid w:val="00172CBF"/>
    <w:rsid w:val="0018003F"/>
    <w:rsid w:val="001833EF"/>
    <w:rsid w:val="00186679"/>
    <w:rsid w:val="0018787C"/>
    <w:rsid w:val="00191E04"/>
    <w:rsid w:val="00192732"/>
    <w:rsid w:val="00196F3C"/>
    <w:rsid w:val="00197A5D"/>
    <w:rsid w:val="001B5AC7"/>
    <w:rsid w:val="001C0BC0"/>
    <w:rsid w:val="001C29D2"/>
    <w:rsid w:val="001D07D5"/>
    <w:rsid w:val="001E07FF"/>
    <w:rsid w:val="001F7420"/>
    <w:rsid w:val="002320A4"/>
    <w:rsid w:val="00233062"/>
    <w:rsid w:val="0025150E"/>
    <w:rsid w:val="002534CB"/>
    <w:rsid w:val="00256E1A"/>
    <w:rsid w:val="00280CDA"/>
    <w:rsid w:val="00282333"/>
    <w:rsid w:val="002B5538"/>
    <w:rsid w:val="002C090C"/>
    <w:rsid w:val="002D796E"/>
    <w:rsid w:val="0030156C"/>
    <w:rsid w:val="00304643"/>
    <w:rsid w:val="00313C97"/>
    <w:rsid w:val="00314CFD"/>
    <w:rsid w:val="00321C75"/>
    <w:rsid w:val="00335BA3"/>
    <w:rsid w:val="00335E40"/>
    <w:rsid w:val="00336589"/>
    <w:rsid w:val="003455A0"/>
    <w:rsid w:val="00357EE5"/>
    <w:rsid w:val="00374AC4"/>
    <w:rsid w:val="00385596"/>
    <w:rsid w:val="00390F35"/>
    <w:rsid w:val="00393B22"/>
    <w:rsid w:val="00395C8C"/>
    <w:rsid w:val="00396EF9"/>
    <w:rsid w:val="003A7216"/>
    <w:rsid w:val="003B56E4"/>
    <w:rsid w:val="003C2B8B"/>
    <w:rsid w:val="003C511E"/>
    <w:rsid w:val="003C7287"/>
    <w:rsid w:val="003D3267"/>
    <w:rsid w:val="003E1622"/>
    <w:rsid w:val="003F2696"/>
    <w:rsid w:val="003F54B6"/>
    <w:rsid w:val="004002FE"/>
    <w:rsid w:val="00402EB2"/>
    <w:rsid w:val="00407A96"/>
    <w:rsid w:val="00425082"/>
    <w:rsid w:val="00433000"/>
    <w:rsid w:val="004530F2"/>
    <w:rsid w:val="0046643A"/>
    <w:rsid w:val="00467057"/>
    <w:rsid w:val="00483EA5"/>
    <w:rsid w:val="004922FE"/>
    <w:rsid w:val="004B00BE"/>
    <w:rsid w:val="004D4870"/>
    <w:rsid w:val="004D722E"/>
    <w:rsid w:val="004D7574"/>
    <w:rsid w:val="004E7499"/>
    <w:rsid w:val="005011FC"/>
    <w:rsid w:val="00507A90"/>
    <w:rsid w:val="00515796"/>
    <w:rsid w:val="00520B5E"/>
    <w:rsid w:val="00526898"/>
    <w:rsid w:val="00530E68"/>
    <w:rsid w:val="00547886"/>
    <w:rsid w:val="00562D57"/>
    <w:rsid w:val="00564F3B"/>
    <w:rsid w:val="00587DA4"/>
    <w:rsid w:val="00590B41"/>
    <w:rsid w:val="00590D85"/>
    <w:rsid w:val="0059209A"/>
    <w:rsid w:val="005A34C9"/>
    <w:rsid w:val="005A78BE"/>
    <w:rsid w:val="005B48F2"/>
    <w:rsid w:val="005B6BF6"/>
    <w:rsid w:val="005B7FE9"/>
    <w:rsid w:val="005D5DA2"/>
    <w:rsid w:val="005E6C1D"/>
    <w:rsid w:val="005F4AB3"/>
    <w:rsid w:val="005F756F"/>
    <w:rsid w:val="0060109A"/>
    <w:rsid w:val="00606B14"/>
    <w:rsid w:val="00616FE3"/>
    <w:rsid w:val="00622B87"/>
    <w:rsid w:val="00635C26"/>
    <w:rsid w:val="006363BD"/>
    <w:rsid w:val="00642C1D"/>
    <w:rsid w:val="00653B5B"/>
    <w:rsid w:val="00657B20"/>
    <w:rsid w:val="006622D4"/>
    <w:rsid w:val="00674F23"/>
    <w:rsid w:val="006801C6"/>
    <w:rsid w:val="006816A4"/>
    <w:rsid w:val="00686C42"/>
    <w:rsid w:val="00687724"/>
    <w:rsid w:val="006909E1"/>
    <w:rsid w:val="00693545"/>
    <w:rsid w:val="00695510"/>
    <w:rsid w:val="00697139"/>
    <w:rsid w:val="006A2E1F"/>
    <w:rsid w:val="006A5A62"/>
    <w:rsid w:val="006C5B96"/>
    <w:rsid w:val="006E584F"/>
    <w:rsid w:val="006E696A"/>
    <w:rsid w:val="006F7E1C"/>
    <w:rsid w:val="00703372"/>
    <w:rsid w:val="0070456A"/>
    <w:rsid w:val="0071374C"/>
    <w:rsid w:val="00741700"/>
    <w:rsid w:val="00742073"/>
    <w:rsid w:val="007709F2"/>
    <w:rsid w:val="0078221A"/>
    <w:rsid w:val="00790942"/>
    <w:rsid w:val="00797EAC"/>
    <w:rsid w:val="007A04C7"/>
    <w:rsid w:val="007A5149"/>
    <w:rsid w:val="007C135F"/>
    <w:rsid w:val="007D0971"/>
    <w:rsid w:val="007E0F37"/>
    <w:rsid w:val="007E2377"/>
    <w:rsid w:val="007E50BD"/>
    <w:rsid w:val="007F2D88"/>
    <w:rsid w:val="007F4D0E"/>
    <w:rsid w:val="00805278"/>
    <w:rsid w:val="00812634"/>
    <w:rsid w:val="00813DAB"/>
    <w:rsid w:val="008162AF"/>
    <w:rsid w:val="00824BAF"/>
    <w:rsid w:val="00825A50"/>
    <w:rsid w:val="008311D2"/>
    <w:rsid w:val="008351D5"/>
    <w:rsid w:val="008368B6"/>
    <w:rsid w:val="00836F5B"/>
    <w:rsid w:val="008419B5"/>
    <w:rsid w:val="00842916"/>
    <w:rsid w:val="00845569"/>
    <w:rsid w:val="00846B28"/>
    <w:rsid w:val="008648DD"/>
    <w:rsid w:val="0089416B"/>
    <w:rsid w:val="008B577C"/>
    <w:rsid w:val="008B69FB"/>
    <w:rsid w:val="008C3717"/>
    <w:rsid w:val="008D1B7C"/>
    <w:rsid w:val="008D4DA0"/>
    <w:rsid w:val="008E4501"/>
    <w:rsid w:val="009022B5"/>
    <w:rsid w:val="009034B0"/>
    <w:rsid w:val="00930DEE"/>
    <w:rsid w:val="009854C8"/>
    <w:rsid w:val="00992F1A"/>
    <w:rsid w:val="0099383F"/>
    <w:rsid w:val="009C1B9B"/>
    <w:rsid w:val="009D2F58"/>
    <w:rsid w:val="009E65D3"/>
    <w:rsid w:val="00A03E11"/>
    <w:rsid w:val="00A100E9"/>
    <w:rsid w:val="00A20F48"/>
    <w:rsid w:val="00A27823"/>
    <w:rsid w:val="00A36117"/>
    <w:rsid w:val="00A43AE0"/>
    <w:rsid w:val="00A53002"/>
    <w:rsid w:val="00A54934"/>
    <w:rsid w:val="00A61827"/>
    <w:rsid w:val="00A66471"/>
    <w:rsid w:val="00A75FB2"/>
    <w:rsid w:val="00A82FE3"/>
    <w:rsid w:val="00A906E2"/>
    <w:rsid w:val="00A93162"/>
    <w:rsid w:val="00A94319"/>
    <w:rsid w:val="00AA116A"/>
    <w:rsid w:val="00AA265A"/>
    <w:rsid w:val="00AC75EA"/>
    <w:rsid w:val="00AD218B"/>
    <w:rsid w:val="00AE10BA"/>
    <w:rsid w:val="00AE11B3"/>
    <w:rsid w:val="00AE221B"/>
    <w:rsid w:val="00AF5C3A"/>
    <w:rsid w:val="00B20D13"/>
    <w:rsid w:val="00B3657E"/>
    <w:rsid w:val="00B403E1"/>
    <w:rsid w:val="00B443A0"/>
    <w:rsid w:val="00B67054"/>
    <w:rsid w:val="00B82148"/>
    <w:rsid w:val="00B91135"/>
    <w:rsid w:val="00BA3869"/>
    <w:rsid w:val="00BB14B0"/>
    <w:rsid w:val="00BC21DC"/>
    <w:rsid w:val="00BC3879"/>
    <w:rsid w:val="00BC5379"/>
    <w:rsid w:val="00BE7970"/>
    <w:rsid w:val="00BF1A4D"/>
    <w:rsid w:val="00BF33BE"/>
    <w:rsid w:val="00BF6919"/>
    <w:rsid w:val="00C12C70"/>
    <w:rsid w:val="00C22044"/>
    <w:rsid w:val="00C22554"/>
    <w:rsid w:val="00C37BBD"/>
    <w:rsid w:val="00C574A1"/>
    <w:rsid w:val="00C607A7"/>
    <w:rsid w:val="00C636BE"/>
    <w:rsid w:val="00C673D3"/>
    <w:rsid w:val="00CA15FD"/>
    <w:rsid w:val="00CA45F6"/>
    <w:rsid w:val="00CA68B5"/>
    <w:rsid w:val="00CB5B81"/>
    <w:rsid w:val="00CD1233"/>
    <w:rsid w:val="00CD7A17"/>
    <w:rsid w:val="00D02C20"/>
    <w:rsid w:val="00D13EE9"/>
    <w:rsid w:val="00D304EA"/>
    <w:rsid w:val="00D30FC8"/>
    <w:rsid w:val="00D32F14"/>
    <w:rsid w:val="00D43699"/>
    <w:rsid w:val="00D44545"/>
    <w:rsid w:val="00D50003"/>
    <w:rsid w:val="00D54FBB"/>
    <w:rsid w:val="00D805C4"/>
    <w:rsid w:val="00D90871"/>
    <w:rsid w:val="00D93B3D"/>
    <w:rsid w:val="00DA4CB5"/>
    <w:rsid w:val="00DB3665"/>
    <w:rsid w:val="00DD3496"/>
    <w:rsid w:val="00DE5B01"/>
    <w:rsid w:val="00DE6B9A"/>
    <w:rsid w:val="00DF554E"/>
    <w:rsid w:val="00E03351"/>
    <w:rsid w:val="00E07EEA"/>
    <w:rsid w:val="00E1303F"/>
    <w:rsid w:val="00E1763D"/>
    <w:rsid w:val="00E53B01"/>
    <w:rsid w:val="00E54570"/>
    <w:rsid w:val="00E54C3B"/>
    <w:rsid w:val="00E738F0"/>
    <w:rsid w:val="00E77286"/>
    <w:rsid w:val="00E9234D"/>
    <w:rsid w:val="00E924EA"/>
    <w:rsid w:val="00EA38F1"/>
    <w:rsid w:val="00EA3929"/>
    <w:rsid w:val="00EA6EC3"/>
    <w:rsid w:val="00EB740C"/>
    <w:rsid w:val="00ED43A3"/>
    <w:rsid w:val="00EE1756"/>
    <w:rsid w:val="00EE2B28"/>
    <w:rsid w:val="00EE2F9B"/>
    <w:rsid w:val="00EE4550"/>
    <w:rsid w:val="00EE484A"/>
    <w:rsid w:val="00EF4CBF"/>
    <w:rsid w:val="00F06AA7"/>
    <w:rsid w:val="00F20F75"/>
    <w:rsid w:val="00F30734"/>
    <w:rsid w:val="00F30EB1"/>
    <w:rsid w:val="00F37772"/>
    <w:rsid w:val="00F4032A"/>
    <w:rsid w:val="00F70E64"/>
    <w:rsid w:val="00F81F30"/>
    <w:rsid w:val="00F837F8"/>
    <w:rsid w:val="00F90CFE"/>
    <w:rsid w:val="00F94599"/>
    <w:rsid w:val="00FB089A"/>
    <w:rsid w:val="00FC0F1D"/>
    <w:rsid w:val="00FC1CBE"/>
    <w:rsid w:val="00FC3D60"/>
    <w:rsid w:val="00FE4892"/>
    <w:rsid w:val="1E8167E0"/>
    <w:rsid w:val="5B41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默认段落字体 Para Char"/>
    <w:basedOn w:val="1"/>
    <w:uiPriority w:val="0"/>
    <w:pPr>
      <w:adjustRightInd w:val="0"/>
      <w:spacing w:line="360" w:lineRule="auto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Char Char Char Char2"/>
    <w:basedOn w:val="1"/>
    <w:uiPriority w:val="99"/>
    <w:pPr>
      <w:widowControl/>
      <w:spacing w:after="160" w:line="240" w:lineRule="exact"/>
      <w:jc w:val="left"/>
    </w:pPr>
    <w:rPr>
      <w:rFonts w:ascii="Verdana" w:hAnsi="Verdana" w:eastAsia="宋体" w:cs="Verdana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BB3AF-A382-4BFA-8889-4C5CABA87B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5</Pages>
  <Words>1984</Words>
  <Characters>2360</Characters>
  <Lines>17</Lines>
  <Paragraphs>4</Paragraphs>
  <TotalTime>5717</TotalTime>
  <ScaleCrop>false</ScaleCrop>
  <LinksUpToDate>false</LinksUpToDate>
  <CharactersWithSpaces>2365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2016-12-14T12:42:00Z</dcterms:created>
  <dc:creator>预算科</dc:creator>
  <cp:lastModifiedBy>Administrator</cp:lastModifiedBy>
  <cp:lastPrinted>2022-12-27T06:59:00Z</cp:lastPrinted>
  <dcterms:modified xsi:type="dcterms:W3CDTF">2023-04-14T01:23:30Z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BE9A24B2155140CA9C84D1C97ED0D2A8_13</vt:lpwstr>
  </property>
</Properties>
</file>