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CE12A">
      <w:pPr>
        <w:keepNext w:val="0"/>
        <w:keepLines w:val="0"/>
        <w:pageBreakBefore w:val="0"/>
        <w:widowControl w:val="0"/>
        <w:tabs>
          <w:tab w:val="left" w:pos="420"/>
        </w:tab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bookmarkStart w:id="11" w:name="_GoBack"/>
      <w:r>
        <w:rPr>
          <w:rFonts w:hint="eastAsia" w:ascii="方正小标宋简体" w:hAnsi="方正小标宋简体" w:eastAsia="方正小标宋简体" w:cs="方正小标宋简体"/>
          <w:sz w:val="44"/>
          <w:szCs w:val="44"/>
          <w:lang w:eastAsia="zh-CN"/>
        </w:rPr>
        <w:t>冠县</w:t>
      </w:r>
      <w:r>
        <w:rPr>
          <w:rFonts w:hint="eastAsia" w:ascii="方正小标宋简体" w:hAnsi="方正小标宋简体" w:eastAsia="方正小标宋简体" w:cs="方正小标宋简体"/>
          <w:sz w:val="44"/>
          <w:szCs w:val="44"/>
          <w:lang w:val="en-US" w:eastAsia="zh-CN"/>
        </w:rPr>
        <w:t>住房和城乡建设局</w:t>
      </w:r>
    </w:p>
    <w:p w14:paraId="103CFCB3">
      <w:pPr>
        <w:keepNext w:val="0"/>
        <w:keepLines w:val="0"/>
        <w:pageBreakBefore w:val="0"/>
        <w:widowControl w:val="0"/>
        <w:tabs>
          <w:tab w:val="left" w:pos="420"/>
        </w:tab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2025年</w:t>
      </w:r>
      <w:r>
        <w:rPr>
          <w:rFonts w:hint="eastAsia" w:ascii="方正小标宋简体" w:hAnsi="方正小标宋简体" w:eastAsia="方正小标宋简体" w:cs="方正小标宋简体"/>
          <w:sz w:val="44"/>
          <w:szCs w:val="44"/>
        </w:rPr>
        <w:t>政府信息公开工作年度报告</w:t>
      </w:r>
    </w:p>
    <w:bookmarkEnd w:id="11"/>
    <w:p w14:paraId="33152E43">
      <w:pPr>
        <w:pStyle w:val="4"/>
        <w:keepNext w:val="0"/>
        <w:keepLines w:val="0"/>
        <w:pageBreakBefore w:val="0"/>
        <w:widowControl/>
        <w:suppressLineNumbers w:val="0"/>
        <w:tabs>
          <w:tab w:val="left" w:pos="420"/>
        </w:tabs>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sz w:val="32"/>
          <w:szCs w:val="32"/>
        </w:rPr>
      </w:pPr>
    </w:p>
    <w:p w14:paraId="41C3B086">
      <w:pPr>
        <w:pStyle w:val="4"/>
        <w:keepNext w:val="0"/>
        <w:keepLines w:val="0"/>
        <w:pageBreakBefore w:val="0"/>
        <w:widowControl/>
        <w:suppressLineNumbers w:val="0"/>
        <w:tabs>
          <w:tab w:val="left" w:pos="420"/>
        </w:tabs>
        <w:kinsoku/>
        <w:wordWrap/>
        <w:overflowPunct/>
        <w:topLinePunct w:val="0"/>
        <w:autoSpaceDE/>
        <w:autoSpaceDN/>
        <w:bidi w:val="0"/>
        <w:adjustRightInd/>
        <w:snapToGrid/>
        <w:spacing w:before="0" w:beforeAutospacing="0" w:afterAutospacing="0" w:line="60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w:t>
      </w:r>
      <w:r>
        <w:rPr>
          <w:rFonts w:hint="eastAsia" w:ascii="仿宋_GB2312" w:hAnsi="仿宋_GB2312" w:eastAsia="仿宋_GB2312" w:cs="仿宋_GB2312"/>
          <w:sz w:val="32"/>
          <w:szCs w:val="32"/>
        </w:rPr>
        <w:t>冠县住房和城乡建设局联系（地址：山东省聊城市冠县冠宜春路130号；邮编：252500；电话:0635-5788201；邮箱：gxzfhcxjsjxck@lc.shandong.cn）。</w:t>
      </w:r>
    </w:p>
    <w:p w14:paraId="05BA52B2">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14:paraId="58354B68">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600" w:lineRule="exact"/>
        <w:ind w:right="0" w:rightChars="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（一）主动公开</w:t>
      </w:r>
    </w:p>
    <w:p w14:paraId="4F56FC2F">
      <w:pPr>
        <w:pStyle w:val="4"/>
        <w:keepNext w:val="0"/>
        <w:keepLines w:val="0"/>
        <w:pageBreakBefore w:val="0"/>
        <w:widowControl/>
        <w:suppressLineNumbers w:val="0"/>
        <w:tabs>
          <w:tab w:val="left" w:pos="420"/>
        </w:tabs>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000000"/>
          <w:spacing w:val="0"/>
          <w:sz w:val="32"/>
          <w:szCs w:val="32"/>
          <w:lang w:val="en-US" w:eastAsia="zh-CN"/>
        </w:rPr>
        <w:t>2025年，通过冠县人民政府网站主动公开发布政府信息317条，主要包括住房保障信息、“双随机、一公开”、公共资源配置领域、通知公告等方面信息。</w:t>
      </w:r>
      <w:r>
        <w:rPr>
          <w:rFonts w:hint="eastAsia" w:ascii="仿宋_GB2312" w:hAnsi="仿宋_GB2312" w:eastAsia="仿宋_GB2312" w:cs="仿宋_GB2312"/>
          <w:sz w:val="32"/>
          <w:szCs w:val="32"/>
        </w:rPr>
        <w:t>发布政策解读</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篇，其中政图文解读</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篇、政策简明问答解读</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篇。</w:t>
      </w:r>
    </w:p>
    <w:p w14:paraId="48F5D21C">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drawing>
          <wp:inline distT="0" distB="0" distL="114300" distR="114300">
            <wp:extent cx="5543550" cy="4151630"/>
            <wp:effectExtent l="0" t="0" r="0" b="1270"/>
            <wp:docPr id="1" name="图片 1" descr="截图_选择区域_2026011316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图_选择区域_20260113162350"/>
                    <pic:cNvPicPr>
                      <a:picLocks noChangeAspect="1"/>
                    </pic:cNvPicPr>
                  </pic:nvPicPr>
                  <pic:blipFill>
                    <a:blip r:embed="rId4"/>
                    <a:stretch>
                      <a:fillRect/>
                    </a:stretch>
                  </pic:blipFill>
                  <pic:spPr>
                    <a:xfrm>
                      <a:off x="0" y="0"/>
                      <a:ext cx="5543550" cy="4151630"/>
                    </a:xfrm>
                    <a:prstGeom prst="rect">
                      <a:avLst/>
                    </a:prstGeom>
                  </pic:spPr>
                </pic:pic>
              </a:graphicData>
            </a:graphic>
          </wp:inline>
        </w:drawing>
      </w:r>
    </w:p>
    <w:p w14:paraId="676B511F">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600" w:lineRule="exact"/>
        <w:ind w:leftChars="0" w:right="0" w:rightChars="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（二）依申请公开</w:t>
      </w:r>
    </w:p>
    <w:p w14:paraId="629FED51">
      <w:pPr>
        <w:keepNext w:val="0"/>
        <w:keepLines w:val="0"/>
        <w:pageBreakBefore w:val="0"/>
        <w:widowControl w:val="0"/>
        <w:tabs>
          <w:tab w:val="left" w:pos="420"/>
        </w:tabs>
        <w:kinsoku/>
        <w:wordWrap/>
        <w:overflowPunct/>
        <w:topLinePunct w:val="0"/>
        <w:autoSpaceDE/>
        <w:autoSpaceDN/>
        <w:bidi w:val="0"/>
        <w:adjustRightInd/>
        <w:snapToGrid/>
        <w:spacing w:line="60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2025年，共受理政府信息公开申请39件，申请数量较去年增长59%。政府信息公开申请内容主要涉及物业、</w:t>
      </w:r>
      <w:r>
        <w:rPr>
          <w:rFonts w:hint="default" w:ascii="仿宋_GB2312" w:eastAsia="仿宋_GB2312"/>
          <w:sz w:val="32"/>
          <w:szCs w:val="32"/>
          <w:lang w:val="en-US" w:eastAsia="zh-CN"/>
        </w:rPr>
        <w:t>土地征收、房屋征收补偿等方面。</w:t>
      </w:r>
      <w:r>
        <w:rPr>
          <w:rFonts w:hint="eastAsia" w:ascii="仿宋_GB2312" w:eastAsia="仿宋_GB2312"/>
          <w:sz w:val="32"/>
          <w:szCs w:val="32"/>
          <w:lang w:val="en-US" w:eastAsia="zh-CN"/>
        </w:rPr>
        <w:t>本年度答复政府信息公开申请39件，均在法定期限内予以答复。在答复的申请中：</w:t>
      </w:r>
      <w:r>
        <w:rPr>
          <w:rFonts w:hint="default" w:ascii="仿宋_GB2312" w:eastAsia="仿宋_GB2312"/>
          <w:sz w:val="32"/>
          <w:szCs w:val="32"/>
          <w:lang w:val="en-US" w:eastAsia="zh-CN"/>
        </w:rPr>
        <w:t>予以公开</w:t>
      </w:r>
      <w:r>
        <w:rPr>
          <w:rFonts w:hint="eastAsia" w:ascii="仿宋_GB2312" w:eastAsia="仿宋_GB2312"/>
          <w:sz w:val="32"/>
          <w:szCs w:val="32"/>
          <w:lang w:val="en-US" w:eastAsia="zh-CN"/>
        </w:rPr>
        <w:t>5</w:t>
      </w:r>
      <w:r>
        <w:rPr>
          <w:rFonts w:hint="default" w:ascii="仿宋_GB2312" w:eastAsia="仿宋_GB2312"/>
          <w:sz w:val="32"/>
          <w:szCs w:val="32"/>
          <w:lang w:val="en-US" w:eastAsia="zh-CN"/>
        </w:rPr>
        <w:t>件</w:t>
      </w:r>
      <w:r>
        <w:rPr>
          <w:rFonts w:hint="eastAsia" w:ascii="仿宋_GB2312" w:eastAsia="仿宋_GB2312"/>
          <w:sz w:val="32"/>
          <w:szCs w:val="32"/>
          <w:lang w:val="en-US" w:eastAsia="zh-CN"/>
        </w:rPr>
        <w:t>、占13</w:t>
      </w:r>
      <w:r>
        <w:rPr>
          <w:rFonts w:hint="default" w:ascii="仿宋_GB2312" w:eastAsia="仿宋_GB2312"/>
          <w:sz w:val="32"/>
          <w:szCs w:val="32"/>
          <w:lang w:val="en-US" w:eastAsia="zh-CN"/>
        </w:rPr>
        <w:t>%，部分公开</w:t>
      </w:r>
      <w:r>
        <w:rPr>
          <w:rFonts w:hint="eastAsia" w:ascii="仿宋_GB2312" w:eastAsia="仿宋_GB2312"/>
          <w:sz w:val="32"/>
          <w:szCs w:val="32"/>
          <w:lang w:val="en-US" w:eastAsia="zh-CN"/>
        </w:rPr>
        <w:t>13</w:t>
      </w:r>
      <w:r>
        <w:rPr>
          <w:rFonts w:hint="default" w:ascii="仿宋_GB2312" w:eastAsia="仿宋_GB2312"/>
          <w:sz w:val="32"/>
          <w:szCs w:val="32"/>
          <w:lang w:val="en-US" w:eastAsia="zh-CN"/>
        </w:rPr>
        <w:t>件</w:t>
      </w:r>
      <w:r>
        <w:rPr>
          <w:rFonts w:hint="eastAsia" w:ascii="仿宋_GB2312" w:eastAsia="仿宋_GB2312"/>
          <w:sz w:val="32"/>
          <w:szCs w:val="32"/>
          <w:lang w:val="en-US" w:eastAsia="zh-CN"/>
        </w:rPr>
        <w:t>、占33</w:t>
      </w:r>
      <w:r>
        <w:rPr>
          <w:rFonts w:hint="default" w:ascii="仿宋_GB2312" w:eastAsia="仿宋_GB2312"/>
          <w:sz w:val="32"/>
          <w:szCs w:val="32"/>
          <w:lang w:val="en-US" w:eastAsia="zh-CN"/>
        </w:rPr>
        <w:t>%，不予公开</w:t>
      </w:r>
      <w:r>
        <w:rPr>
          <w:rFonts w:hint="eastAsia" w:ascii="仿宋_GB2312" w:eastAsia="仿宋_GB2312"/>
          <w:sz w:val="32"/>
          <w:szCs w:val="32"/>
          <w:lang w:val="en-US" w:eastAsia="zh-CN"/>
        </w:rPr>
        <w:t>2</w:t>
      </w:r>
      <w:r>
        <w:rPr>
          <w:rFonts w:hint="default" w:ascii="仿宋_GB2312" w:eastAsia="仿宋_GB2312"/>
          <w:sz w:val="32"/>
          <w:szCs w:val="32"/>
          <w:lang w:val="en-US" w:eastAsia="zh-CN"/>
        </w:rPr>
        <w:t>件</w:t>
      </w:r>
      <w:r>
        <w:rPr>
          <w:rFonts w:hint="eastAsia" w:ascii="仿宋_GB2312" w:eastAsia="仿宋_GB2312"/>
          <w:sz w:val="32"/>
          <w:szCs w:val="32"/>
          <w:lang w:val="en-US" w:eastAsia="zh-CN"/>
        </w:rPr>
        <w:t>、占6</w:t>
      </w:r>
      <w:r>
        <w:rPr>
          <w:rFonts w:hint="default" w:ascii="仿宋_GB2312" w:eastAsia="仿宋_GB2312"/>
          <w:sz w:val="32"/>
          <w:szCs w:val="32"/>
          <w:lang w:val="en-US" w:eastAsia="zh-CN"/>
        </w:rPr>
        <w:t>%，无法提供</w:t>
      </w:r>
      <w:r>
        <w:rPr>
          <w:rFonts w:hint="eastAsia" w:ascii="仿宋_GB2312" w:eastAsia="仿宋_GB2312"/>
          <w:sz w:val="32"/>
          <w:szCs w:val="32"/>
          <w:lang w:val="en-US" w:eastAsia="zh-CN"/>
        </w:rPr>
        <w:t>13</w:t>
      </w:r>
      <w:r>
        <w:rPr>
          <w:rFonts w:hint="default" w:ascii="仿宋_GB2312" w:eastAsia="仿宋_GB2312"/>
          <w:sz w:val="32"/>
          <w:szCs w:val="32"/>
          <w:lang w:val="en-US" w:eastAsia="zh-CN"/>
        </w:rPr>
        <w:t>件</w:t>
      </w:r>
      <w:r>
        <w:rPr>
          <w:rFonts w:hint="eastAsia" w:ascii="仿宋_GB2312" w:eastAsia="仿宋_GB2312"/>
          <w:sz w:val="32"/>
          <w:szCs w:val="32"/>
          <w:lang w:val="en-US" w:eastAsia="zh-CN"/>
        </w:rPr>
        <w:t>、占33</w:t>
      </w:r>
      <w:r>
        <w:rPr>
          <w:rFonts w:hint="default" w:ascii="仿宋_GB2312" w:eastAsia="仿宋_GB2312"/>
          <w:sz w:val="32"/>
          <w:szCs w:val="32"/>
          <w:lang w:val="en-US" w:eastAsia="zh-CN"/>
        </w:rPr>
        <w:t>%，其他处理</w:t>
      </w:r>
      <w:r>
        <w:rPr>
          <w:rFonts w:hint="eastAsia" w:ascii="仿宋_GB2312" w:eastAsia="仿宋_GB2312"/>
          <w:sz w:val="32"/>
          <w:szCs w:val="32"/>
          <w:lang w:val="en-US" w:eastAsia="zh-CN"/>
        </w:rPr>
        <w:t>6</w:t>
      </w:r>
      <w:r>
        <w:rPr>
          <w:rFonts w:hint="default" w:ascii="仿宋_GB2312" w:eastAsia="仿宋_GB2312"/>
          <w:sz w:val="32"/>
          <w:szCs w:val="32"/>
          <w:lang w:val="en-US" w:eastAsia="zh-CN"/>
        </w:rPr>
        <w:t>件</w:t>
      </w:r>
      <w:r>
        <w:rPr>
          <w:rFonts w:hint="eastAsia" w:ascii="仿宋_GB2312" w:eastAsia="仿宋_GB2312"/>
          <w:sz w:val="32"/>
          <w:szCs w:val="32"/>
          <w:lang w:val="en-US" w:eastAsia="zh-CN"/>
        </w:rPr>
        <w:t>、</w:t>
      </w:r>
      <w:r>
        <w:rPr>
          <w:rFonts w:hint="default" w:ascii="仿宋_GB2312" w:eastAsia="仿宋_GB2312"/>
          <w:sz w:val="32"/>
          <w:szCs w:val="32"/>
          <w:lang w:val="en-US" w:eastAsia="zh-CN"/>
        </w:rPr>
        <w:t>占</w:t>
      </w:r>
      <w:r>
        <w:rPr>
          <w:rFonts w:hint="eastAsia" w:ascii="仿宋_GB2312" w:eastAsia="仿宋_GB2312"/>
          <w:sz w:val="32"/>
          <w:szCs w:val="32"/>
          <w:lang w:val="en-US" w:eastAsia="zh-CN"/>
        </w:rPr>
        <w:t>15</w:t>
      </w:r>
      <w:r>
        <w:rPr>
          <w:rFonts w:hint="default" w:ascii="仿宋_GB2312" w:eastAsia="仿宋_GB2312"/>
          <w:sz w:val="32"/>
          <w:szCs w:val="32"/>
          <w:lang w:val="en-US" w:eastAsia="zh-CN"/>
        </w:rPr>
        <w:t>%。</w:t>
      </w:r>
      <w:r>
        <w:rPr>
          <w:rFonts w:hint="eastAsia" w:ascii="仿宋_GB2312" w:eastAsia="仿宋_GB2312"/>
          <w:sz w:val="32"/>
          <w:szCs w:val="32"/>
        </w:rPr>
        <w:t>信息公开行政复议</w:t>
      </w:r>
      <w:r>
        <w:rPr>
          <w:rFonts w:hint="eastAsia" w:ascii="仿宋_GB2312" w:eastAsia="仿宋_GB2312"/>
          <w:sz w:val="32"/>
          <w:szCs w:val="32"/>
          <w:lang w:val="en-US" w:eastAsia="zh-CN"/>
        </w:rPr>
        <w:t>2</w:t>
      </w:r>
      <w:r>
        <w:rPr>
          <w:rFonts w:hint="eastAsia" w:ascii="仿宋_GB2312" w:eastAsia="仿宋_GB2312"/>
          <w:sz w:val="32"/>
          <w:szCs w:val="32"/>
        </w:rPr>
        <w:t>件，</w:t>
      </w:r>
      <w:r>
        <w:rPr>
          <w:rFonts w:hint="eastAsia" w:ascii="仿宋_GB2312" w:eastAsia="仿宋_GB2312"/>
          <w:sz w:val="32"/>
          <w:szCs w:val="32"/>
          <w:lang w:eastAsia="zh-CN"/>
        </w:rPr>
        <w:t>结果维持</w:t>
      </w:r>
      <w:r>
        <w:rPr>
          <w:rFonts w:hint="eastAsia" w:ascii="仿宋_GB2312" w:eastAsia="仿宋_GB2312"/>
          <w:sz w:val="32"/>
          <w:szCs w:val="32"/>
          <w:lang w:val="en-US" w:eastAsia="zh-CN"/>
        </w:rPr>
        <w:t>2</w:t>
      </w:r>
      <w:r>
        <w:rPr>
          <w:rFonts w:hint="eastAsia" w:ascii="仿宋_GB2312" w:eastAsia="仿宋_GB2312"/>
          <w:sz w:val="32"/>
          <w:szCs w:val="32"/>
        </w:rPr>
        <w:t>件。信息公开</w:t>
      </w:r>
      <w:r>
        <w:rPr>
          <w:rFonts w:hint="eastAsia" w:ascii="仿宋_GB2312" w:eastAsia="仿宋_GB2312"/>
          <w:sz w:val="32"/>
          <w:szCs w:val="32"/>
          <w:lang w:eastAsia="zh-CN"/>
        </w:rPr>
        <w:t>行政</w:t>
      </w:r>
      <w:r>
        <w:rPr>
          <w:rFonts w:hint="eastAsia" w:ascii="仿宋_GB2312" w:eastAsia="仿宋_GB2312"/>
          <w:sz w:val="32"/>
          <w:szCs w:val="32"/>
        </w:rPr>
        <w:t>诉讼</w:t>
      </w:r>
      <w:r>
        <w:rPr>
          <w:rFonts w:hint="eastAsia" w:ascii="仿宋_GB2312" w:eastAsia="仿宋_GB2312"/>
          <w:sz w:val="32"/>
          <w:szCs w:val="32"/>
          <w:lang w:val="en-US" w:eastAsia="zh-CN"/>
        </w:rPr>
        <w:t>0</w:t>
      </w:r>
      <w:r>
        <w:rPr>
          <w:rFonts w:hint="eastAsia" w:ascii="仿宋_GB2312" w:eastAsia="仿宋_GB2312"/>
          <w:sz w:val="32"/>
          <w:szCs w:val="32"/>
        </w:rPr>
        <w:t>件，结果</w:t>
      </w:r>
      <w:r>
        <w:rPr>
          <w:rFonts w:hint="eastAsia" w:ascii="仿宋_GB2312" w:eastAsia="仿宋_GB2312"/>
          <w:sz w:val="32"/>
          <w:szCs w:val="32"/>
          <w:lang w:eastAsia="zh-CN"/>
        </w:rPr>
        <w:t>维持</w:t>
      </w:r>
      <w:r>
        <w:rPr>
          <w:rFonts w:hint="eastAsia" w:ascii="仿宋_GB2312" w:eastAsia="仿宋_GB2312"/>
          <w:sz w:val="32"/>
          <w:szCs w:val="32"/>
          <w:lang w:val="en-US" w:eastAsia="zh-CN"/>
        </w:rPr>
        <w:t>0</w:t>
      </w:r>
      <w:r>
        <w:rPr>
          <w:rFonts w:hint="eastAsia" w:ascii="仿宋_GB2312" w:eastAsia="仿宋_GB2312"/>
          <w:sz w:val="32"/>
          <w:szCs w:val="32"/>
        </w:rPr>
        <w:t>件。</w:t>
      </w:r>
    </w:p>
    <w:p w14:paraId="6B838E41">
      <w:pPr>
        <w:keepNext w:val="0"/>
        <w:keepLines w:val="0"/>
        <w:pageBreakBefore w:val="0"/>
        <w:numPr>
          <w:ilvl w:val="0"/>
          <w:numId w:val="0"/>
        </w:numPr>
        <w:tabs>
          <w:tab w:val="left" w:pos="420"/>
        </w:tabs>
        <w:kinsoku/>
        <w:wordWrap/>
        <w:overflowPunct/>
        <w:topLinePunct w:val="0"/>
        <w:autoSpaceDE/>
        <w:autoSpaceDN/>
        <w:bidi w:val="0"/>
        <w:adjustRightInd/>
        <w:snapToGrid/>
        <w:spacing w:line="240" w:lineRule="auto"/>
        <w:ind w:leftChars="200" w:right="0" w:rightChars="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drawing>
          <wp:inline distT="0" distB="0" distL="114300" distR="114300">
            <wp:extent cx="4584065" cy="2755265"/>
            <wp:effectExtent l="0" t="0" r="6985" b="6985"/>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5"/>
                    <a:stretch>
                      <a:fillRect/>
                    </a:stretch>
                  </pic:blipFill>
                  <pic:spPr>
                    <a:xfrm>
                      <a:off x="0" y="0"/>
                      <a:ext cx="4584065" cy="2755265"/>
                    </a:xfrm>
                    <a:prstGeom prst="rect">
                      <a:avLst/>
                    </a:prstGeom>
                  </pic:spPr>
                </pic:pic>
              </a:graphicData>
            </a:graphic>
          </wp:inline>
        </w:drawing>
      </w:r>
    </w:p>
    <w:p w14:paraId="36E31C53">
      <w:pPr>
        <w:keepNext w:val="0"/>
        <w:keepLines w:val="0"/>
        <w:pageBreakBefore w:val="0"/>
        <w:numPr>
          <w:ilvl w:val="0"/>
          <w:numId w:val="0"/>
        </w:numPr>
        <w:tabs>
          <w:tab w:val="left" w:pos="420"/>
        </w:tabs>
        <w:kinsoku/>
        <w:wordWrap/>
        <w:overflowPunct/>
        <w:topLinePunct w:val="0"/>
        <w:autoSpaceDE/>
        <w:autoSpaceDN/>
        <w:bidi w:val="0"/>
        <w:adjustRightInd/>
        <w:snapToGrid/>
        <w:spacing w:line="600" w:lineRule="exact"/>
        <w:ind w:right="0" w:rightChars="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（三）政府信息管理</w:t>
      </w:r>
    </w:p>
    <w:p w14:paraId="16BE2A95">
      <w:pPr>
        <w:pStyle w:val="4"/>
        <w:keepNext w:val="0"/>
        <w:keepLines w:val="0"/>
        <w:pageBreakBefore w:val="0"/>
        <w:widowControl/>
        <w:suppressLineNumbers w:val="0"/>
        <w:tabs>
          <w:tab w:val="left" w:pos="420"/>
        </w:tabs>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楷体_GB2312" w:hAnsi="楷体_GB2312" w:eastAsia="楷体_GB2312" w:cs="楷体_GB2312"/>
          <w:b w:val="0"/>
          <w:bCs w:val="0"/>
          <w:sz w:val="32"/>
          <w:szCs w:val="32"/>
          <w:lang w:eastAsia="zh-CN"/>
        </w:rPr>
      </w:pPr>
      <w:r>
        <w:rPr>
          <w:rFonts w:hint="eastAsia" w:ascii="仿宋_GB2312" w:hAnsi="仿宋_GB2312" w:eastAsia="仿宋_GB2312" w:cs="仿宋_GB2312"/>
          <w:sz w:val="32"/>
          <w:szCs w:val="32"/>
          <w:lang w:val="en-US" w:eastAsia="zh-CN"/>
        </w:rPr>
        <w:t>严格落实信息公开内容核查制度，履行政府信息发布前审查程序，确保政府信息公开的专业性和准确性。规范线上、线下政府信息公开申请的受理、处理、答复、存档流程。</w:t>
      </w:r>
    </w:p>
    <w:p w14:paraId="2D75CE04">
      <w:pPr>
        <w:keepNext w:val="0"/>
        <w:keepLines w:val="0"/>
        <w:pageBreakBefore w:val="0"/>
        <w:numPr>
          <w:ilvl w:val="0"/>
          <w:numId w:val="0"/>
        </w:numPr>
        <w:tabs>
          <w:tab w:val="left" w:pos="420"/>
        </w:tabs>
        <w:kinsoku/>
        <w:wordWrap/>
        <w:overflowPunct/>
        <w:topLinePunct w:val="0"/>
        <w:autoSpaceDE/>
        <w:autoSpaceDN/>
        <w:bidi w:val="0"/>
        <w:adjustRightInd/>
        <w:snapToGrid/>
        <w:spacing w:line="600" w:lineRule="exact"/>
        <w:ind w:right="0" w:rightChars="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（四）政府信息公开平台建设</w:t>
      </w:r>
    </w:p>
    <w:p w14:paraId="0AF45108">
      <w:pPr>
        <w:pageBreakBefore w:val="0"/>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以政府门户网站信息公开专栏为核心，按信息类别精准划分板块，</w:t>
      </w:r>
      <w:r>
        <w:rPr>
          <w:rFonts w:hint="eastAsia" w:ascii="仿宋_GB2312" w:eastAsia="仿宋_GB2312"/>
          <w:sz w:val="32"/>
          <w:szCs w:val="32"/>
          <w:lang w:val="en-US" w:eastAsia="zh-CN"/>
        </w:rPr>
        <w:t>根据工作要求，充分发挥门户网站主渠道作用，紧密结合工作实际和有关要求，定期对有关栏目信息进行更新，为群众提供更多便捷、优质、贴心的服务。 </w:t>
      </w:r>
    </w:p>
    <w:p w14:paraId="77CBD002">
      <w:pPr>
        <w:keepNext w:val="0"/>
        <w:keepLines w:val="0"/>
        <w:pageBreakBefore w:val="0"/>
        <w:numPr>
          <w:ilvl w:val="0"/>
          <w:numId w:val="0"/>
        </w:numPr>
        <w:tabs>
          <w:tab w:val="left" w:pos="420"/>
        </w:tabs>
        <w:kinsoku/>
        <w:wordWrap/>
        <w:overflowPunct/>
        <w:topLinePunct w:val="0"/>
        <w:autoSpaceDE/>
        <w:autoSpaceDN/>
        <w:bidi w:val="0"/>
        <w:adjustRightInd/>
        <w:snapToGrid/>
        <w:spacing w:line="600" w:lineRule="exact"/>
        <w:ind w:right="0" w:rightChars="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（五）监督保障</w:t>
      </w:r>
    </w:p>
    <w:p w14:paraId="5B8AAF62">
      <w:pPr>
        <w:pStyle w:val="4"/>
        <w:keepNext w:val="0"/>
        <w:keepLines w:val="0"/>
        <w:pageBreakBefore w:val="0"/>
        <w:widowControl/>
        <w:suppressLineNumbers w:val="0"/>
        <w:tabs>
          <w:tab w:val="left" w:pos="420"/>
        </w:tabs>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坚持将政府信息管理规范化制度化作为基本工作原则，建立分管领导承担领导责任，专职工作人员具体负责机制，定期开展科室业务培训，打通业务壁垒，确保及时全面更新住房领域政府信息。</w:t>
      </w:r>
    </w:p>
    <w:p w14:paraId="534E8CA2">
      <w:pPr>
        <w:pStyle w:val="2"/>
        <w:pageBreakBefore w:val="0"/>
        <w:numPr>
          <w:ilvl w:val="0"/>
          <w:numId w:val="0"/>
        </w:numPr>
        <w:tabs>
          <w:tab w:val="left" w:pos="420"/>
        </w:tabs>
        <w:kinsoku/>
        <w:overflowPunct/>
        <w:topLinePunct w:val="0"/>
        <w:autoSpaceDE/>
        <w:autoSpaceDN/>
        <w:bidi w:val="0"/>
        <w:adjustRightInd/>
        <w:spacing w:before="0" w:after="0" w:line="600" w:lineRule="exact"/>
        <w:ind w:left="0" w:leftChars="0" w:right="0" w:rightChars="0" w:firstLine="640" w:firstLineChars="200"/>
        <w:textAlignment w:val="auto"/>
        <w:rPr>
          <w:rFonts w:hint="eastAsia"/>
        </w:rPr>
      </w:pPr>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5"/>
        <w:tblpPr w:leftFromText="180" w:rightFromText="180" w:vertAnchor="text" w:horzAnchor="page" w:tblpXSpec="center" w:tblpY="596"/>
        <w:tblOverlap w:val="never"/>
        <w:tblW w:w="8522" w:type="dxa"/>
        <w:jc w:val="center"/>
        <w:tblLayout w:type="fixed"/>
        <w:tblCellMar>
          <w:top w:w="0" w:type="dxa"/>
          <w:left w:w="108" w:type="dxa"/>
          <w:bottom w:w="0" w:type="dxa"/>
          <w:right w:w="108" w:type="dxa"/>
        </w:tblCellMar>
      </w:tblPr>
      <w:tblGrid>
        <w:gridCol w:w="2130"/>
        <w:gridCol w:w="2130"/>
        <w:gridCol w:w="2131"/>
        <w:gridCol w:w="2131"/>
      </w:tblGrid>
      <w:tr w14:paraId="03732AC3">
        <w:tblPrEx>
          <w:tblCellMar>
            <w:top w:w="0" w:type="dxa"/>
            <w:left w:w="108" w:type="dxa"/>
            <w:bottom w:w="0" w:type="dxa"/>
            <w:right w:w="108" w:type="dxa"/>
          </w:tblCellMar>
        </w:tblPrEx>
        <w:trPr>
          <w:trHeight w:val="567" w:hRule="atLeast"/>
          <w:jc w:val="center"/>
        </w:trPr>
        <w:tc>
          <w:tcPr>
            <w:tcW w:w="8522"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766010D">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19E99B4B">
        <w:tblPrEx>
          <w:tblCellMar>
            <w:top w:w="0" w:type="dxa"/>
            <w:left w:w="108" w:type="dxa"/>
            <w:bottom w:w="0" w:type="dxa"/>
            <w:right w:w="108" w:type="dxa"/>
          </w:tblCellMar>
        </w:tblPrEx>
        <w:trPr>
          <w:trHeight w:val="567" w:hRule="atLeast"/>
          <w:jc w:val="center"/>
        </w:trPr>
        <w:tc>
          <w:tcPr>
            <w:tcW w:w="2130" w:type="dxa"/>
            <w:tcBorders>
              <w:top w:val="nil"/>
              <w:left w:val="single" w:color="auto" w:sz="8" w:space="0"/>
              <w:bottom w:val="single" w:color="auto" w:sz="8" w:space="0"/>
              <w:right w:val="single" w:color="auto" w:sz="8" w:space="0"/>
            </w:tcBorders>
            <w:noWrap w:val="0"/>
            <w:vAlign w:val="center"/>
          </w:tcPr>
          <w:p w14:paraId="73CC9596">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130" w:type="dxa"/>
            <w:tcBorders>
              <w:top w:val="nil"/>
              <w:left w:val="nil"/>
              <w:bottom w:val="single" w:color="auto" w:sz="8" w:space="0"/>
              <w:right w:val="single" w:color="auto" w:sz="8" w:space="0"/>
            </w:tcBorders>
            <w:noWrap w:val="0"/>
            <w:vAlign w:val="center"/>
          </w:tcPr>
          <w:p w14:paraId="72487783">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131" w:type="dxa"/>
            <w:tcBorders>
              <w:top w:val="nil"/>
              <w:left w:val="nil"/>
              <w:bottom w:val="single" w:color="auto" w:sz="8" w:space="0"/>
              <w:right w:val="single" w:color="auto" w:sz="8" w:space="0"/>
            </w:tcBorders>
            <w:noWrap w:val="0"/>
            <w:vAlign w:val="center"/>
          </w:tcPr>
          <w:p w14:paraId="414852CB">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131" w:type="dxa"/>
            <w:tcBorders>
              <w:top w:val="nil"/>
              <w:left w:val="nil"/>
              <w:bottom w:val="single" w:color="auto" w:sz="8" w:space="0"/>
              <w:right w:val="single" w:color="auto" w:sz="8" w:space="0"/>
            </w:tcBorders>
            <w:noWrap w:val="0"/>
            <w:vAlign w:val="center"/>
          </w:tcPr>
          <w:p w14:paraId="09B5F678">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304EC2AE">
        <w:tblPrEx>
          <w:tblCellMar>
            <w:top w:w="0" w:type="dxa"/>
            <w:left w:w="108" w:type="dxa"/>
            <w:bottom w:w="0" w:type="dxa"/>
            <w:right w:w="108" w:type="dxa"/>
          </w:tblCellMar>
        </w:tblPrEx>
        <w:trPr>
          <w:trHeight w:val="567" w:hRule="atLeast"/>
          <w:jc w:val="center"/>
        </w:trPr>
        <w:tc>
          <w:tcPr>
            <w:tcW w:w="2130" w:type="dxa"/>
            <w:tcBorders>
              <w:top w:val="nil"/>
              <w:left w:val="single" w:color="auto" w:sz="8" w:space="0"/>
              <w:bottom w:val="single" w:color="auto" w:sz="8" w:space="0"/>
              <w:right w:val="single" w:color="auto" w:sz="8" w:space="0"/>
            </w:tcBorders>
            <w:noWrap w:val="0"/>
            <w:vAlign w:val="center"/>
          </w:tcPr>
          <w:p w14:paraId="530E4380">
            <w:pPr>
              <w:pageBreakBefore w:val="0"/>
              <w:widowControl/>
              <w:tabs>
                <w:tab w:val="left" w:pos="420"/>
              </w:tabs>
              <w:kinsoku/>
              <w:overflowPunct/>
              <w:topLinePunct w:val="0"/>
              <w:autoSpaceDE/>
              <w:autoSpaceDN/>
              <w:bidi w:val="0"/>
              <w:adjustRightInd/>
              <w:spacing w:line="600" w:lineRule="exact"/>
              <w:ind w:left="0" w:leftChars="0" w:right="0" w:rightChars="0"/>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130" w:type="dxa"/>
            <w:tcBorders>
              <w:top w:val="nil"/>
              <w:left w:val="nil"/>
              <w:bottom w:val="single" w:color="auto" w:sz="8" w:space="0"/>
              <w:right w:val="single" w:color="auto" w:sz="8" w:space="0"/>
            </w:tcBorders>
            <w:noWrap w:val="0"/>
            <w:vAlign w:val="center"/>
          </w:tcPr>
          <w:p w14:paraId="17F415D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131" w:type="dxa"/>
            <w:tcBorders>
              <w:top w:val="nil"/>
              <w:left w:val="nil"/>
              <w:bottom w:val="single" w:color="auto" w:sz="8" w:space="0"/>
              <w:right w:val="single" w:color="auto" w:sz="8" w:space="0"/>
            </w:tcBorders>
            <w:noWrap w:val="0"/>
            <w:vAlign w:val="center"/>
          </w:tcPr>
          <w:p w14:paraId="03F590EF">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131" w:type="dxa"/>
            <w:tcBorders>
              <w:top w:val="nil"/>
              <w:left w:val="nil"/>
              <w:bottom w:val="single" w:color="auto" w:sz="8" w:space="0"/>
              <w:right w:val="single" w:color="auto" w:sz="8" w:space="0"/>
            </w:tcBorders>
            <w:noWrap w:val="0"/>
            <w:vAlign w:val="center"/>
          </w:tcPr>
          <w:p w14:paraId="1D350F4D">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47F6501C">
        <w:tblPrEx>
          <w:tblCellMar>
            <w:top w:w="0" w:type="dxa"/>
            <w:left w:w="108" w:type="dxa"/>
            <w:bottom w:w="0" w:type="dxa"/>
            <w:right w:w="108" w:type="dxa"/>
          </w:tblCellMar>
        </w:tblPrEx>
        <w:trPr>
          <w:trHeight w:val="567" w:hRule="atLeast"/>
          <w:jc w:val="center"/>
        </w:trPr>
        <w:tc>
          <w:tcPr>
            <w:tcW w:w="2130" w:type="dxa"/>
            <w:tcBorders>
              <w:top w:val="nil"/>
              <w:left w:val="single" w:color="auto" w:sz="8" w:space="0"/>
              <w:bottom w:val="single" w:color="auto" w:sz="8" w:space="0"/>
              <w:right w:val="single" w:color="auto" w:sz="8" w:space="0"/>
            </w:tcBorders>
            <w:noWrap w:val="0"/>
            <w:vAlign w:val="center"/>
          </w:tcPr>
          <w:p w14:paraId="05DA5E3E">
            <w:pPr>
              <w:pageBreakBefore w:val="0"/>
              <w:widowControl/>
              <w:tabs>
                <w:tab w:val="left" w:pos="420"/>
              </w:tabs>
              <w:kinsoku/>
              <w:overflowPunct/>
              <w:topLinePunct w:val="0"/>
              <w:autoSpaceDE/>
              <w:autoSpaceDN/>
              <w:bidi w:val="0"/>
              <w:adjustRightInd/>
              <w:spacing w:line="600" w:lineRule="exact"/>
              <w:ind w:left="0" w:leftChars="0" w:right="0" w:rightChars="0"/>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130" w:type="dxa"/>
            <w:tcBorders>
              <w:top w:val="nil"/>
              <w:left w:val="nil"/>
              <w:bottom w:val="single" w:color="auto" w:sz="8" w:space="0"/>
              <w:right w:val="single" w:color="auto" w:sz="8" w:space="0"/>
            </w:tcBorders>
            <w:noWrap w:val="0"/>
            <w:vAlign w:val="center"/>
          </w:tcPr>
          <w:p w14:paraId="0AD76846">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131" w:type="dxa"/>
            <w:tcBorders>
              <w:top w:val="nil"/>
              <w:left w:val="nil"/>
              <w:bottom w:val="single" w:color="auto" w:sz="8" w:space="0"/>
              <w:right w:val="single" w:color="auto" w:sz="8" w:space="0"/>
            </w:tcBorders>
            <w:noWrap w:val="0"/>
            <w:vAlign w:val="center"/>
          </w:tcPr>
          <w:p w14:paraId="0B7C1EA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131" w:type="dxa"/>
            <w:tcBorders>
              <w:top w:val="nil"/>
              <w:left w:val="nil"/>
              <w:bottom w:val="single" w:color="auto" w:sz="8" w:space="0"/>
              <w:right w:val="single" w:color="auto" w:sz="8" w:space="0"/>
            </w:tcBorders>
            <w:noWrap w:val="0"/>
            <w:vAlign w:val="center"/>
          </w:tcPr>
          <w:p w14:paraId="6C8967CB">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64789941">
        <w:tblPrEx>
          <w:tblCellMar>
            <w:top w:w="0" w:type="dxa"/>
            <w:left w:w="108" w:type="dxa"/>
            <w:bottom w:w="0" w:type="dxa"/>
            <w:right w:w="108" w:type="dxa"/>
          </w:tblCellMar>
        </w:tblPrEx>
        <w:trPr>
          <w:trHeight w:val="567" w:hRule="atLeast"/>
          <w:jc w:val="center"/>
        </w:trPr>
        <w:tc>
          <w:tcPr>
            <w:tcW w:w="8522"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7D15F2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22BE2ED6">
        <w:tblPrEx>
          <w:tblCellMar>
            <w:top w:w="0" w:type="dxa"/>
            <w:left w:w="108" w:type="dxa"/>
            <w:bottom w:w="0" w:type="dxa"/>
            <w:right w:w="108" w:type="dxa"/>
          </w:tblCellMar>
        </w:tblPrEx>
        <w:trPr>
          <w:trHeight w:val="567" w:hRule="atLeast"/>
          <w:jc w:val="center"/>
        </w:trPr>
        <w:tc>
          <w:tcPr>
            <w:tcW w:w="2130" w:type="dxa"/>
            <w:tcBorders>
              <w:top w:val="nil"/>
              <w:left w:val="single" w:color="auto" w:sz="8" w:space="0"/>
              <w:bottom w:val="single" w:color="auto" w:sz="8" w:space="0"/>
              <w:right w:val="single" w:color="auto" w:sz="8" w:space="0"/>
            </w:tcBorders>
            <w:noWrap w:val="0"/>
            <w:vAlign w:val="center"/>
          </w:tcPr>
          <w:p w14:paraId="50C91CA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392" w:type="dxa"/>
            <w:gridSpan w:val="3"/>
            <w:tcBorders>
              <w:top w:val="single" w:color="auto" w:sz="8" w:space="0"/>
              <w:left w:val="nil"/>
              <w:bottom w:val="single" w:color="auto" w:sz="8" w:space="0"/>
              <w:right w:val="single" w:color="000000" w:sz="8" w:space="0"/>
            </w:tcBorders>
            <w:noWrap w:val="0"/>
            <w:vAlign w:val="center"/>
          </w:tcPr>
          <w:p w14:paraId="29594613">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3376729A">
        <w:tblPrEx>
          <w:tblCellMar>
            <w:top w:w="0" w:type="dxa"/>
            <w:left w:w="108" w:type="dxa"/>
            <w:bottom w:w="0" w:type="dxa"/>
            <w:right w:w="108" w:type="dxa"/>
          </w:tblCellMar>
        </w:tblPrEx>
        <w:trPr>
          <w:trHeight w:val="567" w:hRule="atLeast"/>
          <w:jc w:val="center"/>
        </w:trPr>
        <w:tc>
          <w:tcPr>
            <w:tcW w:w="2130" w:type="dxa"/>
            <w:tcBorders>
              <w:top w:val="nil"/>
              <w:left w:val="single" w:color="auto" w:sz="8" w:space="0"/>
              <w:bottom w:val="single" w:color="auto" w:sz="8" w:space="0"/>
              <w:right w:val="single" w:color="auto" w:sz="8" w:space="0"/>
            </w:tcBorders>
            <w:noWrap w:val="0"/>
            <w:vAlign w:val="center"/>
          </w:tcPr>
          <w:p w14:paraId="3540DFF5">
            <w:pPr>
              <w:pageBreakBefore w:val="0"/>
              <w:widowControl/>
              <w:tabs>
                <w:tab w:val="left" w:pos="420"/>
              </w:tabs>
              <w:kinsoku/>
              <w:overflowPunct/>
              <w:topLinePunct w:val="0"/>
              <w:autoSpaceDE/>
              <w:autoSpaceDN/>
              <w:bidi w:val="0"/>
              <w:adjustRightInd/>
              <w:spacing w:line="600" w:lineRule="exact"/>
              <w:ind w:left="0" w:leftChars="0" w:right="0" w:rightChars="0"/>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392" w:type="dxa"/>
            <w:gridSpan w:val="3"/>
            <w:tcBorders>
              <w:top w:val="single" w:color="auto" w:sz="8" w:space="0"/>
              <w:left w:val="nil"/>
              <w:bottom w:val="single" w:color="auto" w:sz="8" w:space="0"/>
              <w:right w:val="single" w:color="000000" w:sz="8" w:space="0"/>
            </w:tcBorders>
            <w:noWrap w:val="0"/>
            <w:vAlign w:val="center"/>
          </w:tcPr>
          <w:p w14:paraId="597E585D">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67</w:t>
            </w:r>
          </w:p>
        </w:tc>
      </w:tr>
      <w:tr w14:paraId="37FE1ADB">
        <w:tblPrEx>
          <w:tblCellMar>
            <w:top w:w="0" w:type="dxa"/>
            <w:left w:w="108" w:type="dxa"/>
            <w:bottom w:w="0" w:type="dxa"/>
            <w:right w:w="108" w:type="dxa"/>
          </w:tblCellMar>
        </w:tblPrEx>
        <w:trPr>
          <w:trHeight w:val="567" w:hRule="atLeast"/>
          <w:jc w:val="center"/>
        </w:trPr>
        <w:tc>
          <w:tcPr>
            <w:tcW w:w="8522"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810D3E6">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6EDDB049">
        <w:tblPrEx>
          <w:tblCellMar>
            <w:top w:w="0" w:type="dxa"/>
            <w:left w:w="108" w:type="dxa"/>
            <w:bottom w:w="0" w:type="dxa"/>
            <w:right w:w="108" w:type="dxa"/>
          </w:tblCellMar>
        </w:tblPrEx>
        <w:trPr>
          <w:trHeight w:val="567" w:hRule="atLeast"/>
          <w:jc w:val="center"/>
        </w:trPr>
        <w:tc>
          <w:tcPr>
            <w:tcW w:w="2130" w:type="dxa"/>
            <w:tcBorders>
              <w:top w:val="nil"/>
              <w:left w:val="single" w:color="auto" w:sz="8" w:space="0"/>
              <w:bottom w:val="single" w:color="auto" w:sz="8" w:space="0"/>
              <w:right w:val="single" w:color="auto" w:sz="8" w:space="0"/>
            </w:tcBorders>
            <w:noWrap w:val="0"/>
            <w:vAlign w:val="center"/>
          </w:tcPr>
          <w:p w14:paraId="6206CDD9">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392" w:type="dxa"/>
            <w:gridSpan w:val="3"/>
            <w:tcBorders>
              <w:top w:val="single" w:color="auto" w:sz="8" w:space="0"/>
              <w:left w:val="nil"/>
              <w:bottom w:val="single" w:color="auto" w:sz="8" w:space="0"/>
              <w:right w:val="single" w:color="000000" w:sz="8" w:space="0"/>
            </w:tcBorders>
            <w:noWrap w:val="0"/>
            <w:vAlign w:val="center"/>
          </w:tcPr>
          <w:p w14:paraId="26DEAD7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05D59AA6">
        <w:tblPrEx>
          <w:tblCellMar>
            <w:top w:w="0" w:type="dxa"/>
            <w:left w:w="108" w:type="dxa"/>
            <w:bottom w:w="0" w:type="dxa"/>
            <w:right w:w="108" w:type="dxa"/>
          </w:tblCellMar>
        </w:tblPrEx>
        <w:trPr>
          <w:trHeight w:val="567" w:hRule="atLeast"/>
          <w:jc w:val="center"/>
        </w:trPr>
        <w:tc>
          <w:tcPr>
            <w:tcW w:w="2130" w:type="dxa"/>
            <w:tcBorders>
              <w:top w:val="nil"/>
              <w:left w:val="single" w:color="auto" w:sz="8" w:space="0"/>
              <w:bottom w:val="single" w:color="auto" w:sz="8" w:space="0"/>
              <w:right w:val="single" w:color="auto" w:sz="8" w:space="0"/>
            </w:tcBorders>
            <w:noWrap w:val="0"/>
            <w:vAlign w:val="center"/>
          </w:tcPr>
          <w:p w14:paraId="76C4F74B">
            <w:pPr>
              <w:pageBreakBefore w:val="0"/>
              <w:widowControl/>
              <w:tabs>
                <w:tab w:val="left" w:pos="420"/>
              </w:tabs>
              <w:kinsoku/>
              <w:overflowPunct/>
              <w:topLinePunct w:val="0"/>
              <w:autoSpaceDE/>
              <w:autoSpaceDN/>
              <w:bidi w:val="0"/>
              <w:adjustRightInd/>
              <w:spacing w:line="600" w:lineRule="exact"/>
              <w:ind w:left="0" w:leftChars="0" w:right="0" w:rightChars="0"/>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392" w:type="dxa"/>
            <w:gridSpan w:val="3"/>
            <w:tcBorders>
              <w:top w:val="single" w:color="auto" w:sz="8" w:space="0"/>
              <w:left w:val="nil"/>
              <w:bottom w:val="single" w:color="auto" w:sz="8" w:space="0"/>
              <w:right w:val="single" w:color="000000" w:sz="8" w:space="0"/>
            </w:tcBorders>
            <w:noWrap w:val="0"/>
            <w:vAlign w:val="center"/>
          </w:tcPr>
          <w:p w14:paraId="4B463B6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316168AC">
        <w:tblPrEx>
          <w:tblCellMar>
            <w:top w:w="0" w:type="dxa"/>
            <w:left w:w="108" w:type="dxa"/>
            <w:bottom w:w="0" w:type="dxa"/>
            <w:right w:w="108" w:type="dxa"/>
          </w:tblCellMar>
        </w:tblPrEx>
        <w:trPr>
          <w:trHeight w:val="567" w:hRule="atLeast"/>
          <w:jc w:val="center"/>
        </w:trPr>
        <w:tc>
          <w:tcPr>
            <w:tcW w:w="2130" w:type="dxa"/>
            <w:tcBorders>
              <w:top w:val="nil"/>
              <w:left w:val="single" w:color="auto" w:sz="8" w:space="0"/>
              <w:bottom w:val="single" w:color="auto" w:sz="8" w:space="0"/>
              <w:right w:val="single" w:color="auto" w:sz="8" w:space="0"/>
            </w:tcBorders>
            <w:noWrap w:val="0"/>
            <w:vAlign w:val="center"/>
          </w:tcPr>
          <w:p w14:paraId="0A0B2462">
            <w:pPr>
              <w:pageBreakBefore w:val="0"/>
              <w:widowControl/>
              <w:tabs>
                <w:tab w:val="left" w:pos="420"/>
              </w:tabs>
              <w:kinsoku/>
              <w:overflowPunct/>
              <w:topLinePunct w:val="0"/>
              <w:autoSpaceDE/>
              <w:autoSpaceDN/>
              <w:bidi w:val="0"/>
              <w:adjustRightInd/>
              <w:spacing w:line="600" w:lineRule="exact"/>
              <w:ind w:left="0" w:leftChars="0" w:right="0" w:rightChars="0"/>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392" w:type="dxa"/>
            <w:gridSpan w:val="3"/>
            <w:tcBorders>
              <w:top w:val="single" w:color="auto" w:sz="8" w:space="0"/>
              <w:left w:val="nil"/>
              <w:bottom w:val="single" w:color="auto" w:sz="8" w:space="0"/>
              <w:right w:val="single" w:color="000000" w:sz="8" w:space="0"/>
            </w:tcBorders>
            <w:noWrap w:val="0"/>
            <w:vAlign w:val="center"/>
          </w:tcPr>
          <w:p w14:paraId="254AEBC6">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37C3DFB7">
        <w:tblPrEx>
          <w:tblCellMar>
            <w:top w:w="0" w:type="dxa"/>
            <w:left w:w="108" w:type="dxa"/>
            <w:bottom w:w="0" w:type="dxa"/>
            <w:right w:w="108" w:type="dxa"/>
          </w:tblCellMar>
        </w:tblPrEx>
        <w:trPr>
          <w:trHeight w:val="567" w:hRule="atLeast"/>
          <w:jc w:val="center"/>
        </w:trPr>
        <w:tc>
          <w:tcPr>
            <w:tcW w:w="8522"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A6BA4D7">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33E51AC8">
        <w:tblPrEx>
          <w:tblCellMar>
            <w:top w:w="0" w:type="dxa"/>
            <w:left w:w="108" w:type="dxa"/>
            <w:bottom w:w="0" w:type="dxa"/>
            <w:right w:w="108" w:type="dxa"/>
          </w:tblCellMar>
        </w:tblPrEx>
        <w:trPr>
          <w:trHeight w:val="567" w:hRule="atLeast"/>
          <w:jc w:val="center"/>
        </w:trPr>
        <w:tc>
          <w:tcPr>
            <w:tcW w:w="2130" w:type="dxa"/>
            <w:tcBorders>
              <w:top w:val="nil"/>
              <w:left w:val="single" w:color="auto" w:sz="8" w:space="0"/>
              <w:bottom w:val="single" w:color="auto" w:sz="8" w:space="0"/>
              <w:right w:val="single" w:color="auto" w:sz="8" w:space="0"/>
            </w:tcBorders>
            <w:noWrap w:val="0"/>
            <w:vAlign w:val="center"/>
          </w:tcPr>
          <w:p w14:paraId="468279C3">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392" w:type="dxa"/>
            <w:gridSpan w:val="3"/>
            <w:tcBorders>
              <w:top w:val="single" w:color="auto" w:sz="8" w:space="0"/>
              <w:left w:val="nil"/>
              <w:bottom w:val="single" w:color="auto" w:sz="8" w:space="0"/>
              <w:right w:val="single" w:color="000000" w:sz="8" w:space="0"/>
            </w:tcBorders>
            <w:noWrap w:val="0"/>
            <w:vAlign w:val="center"/>
          </w:tcPr>
          <w:p w14:paraId="2E586689">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78DBF330">
        <w:tblPrEx>
          <w:tblCellMar>
            <w:top w:w="0" w:type="dxa"/>
            <w:left w:w="108" w:type="dxa"/>
            <w:bottom w:w="0" w:type="dxa"/>
            <w:right w:w="108" w:type="dxa"/>
          </w:tblCellMar>
        </w:tblPrEx>
        <w:trPr>
          <w:trHeight w:val="567" w:hRule="atLeast"/>
          <w:jc w:val="center"/>
        </w:trPr>
        <w:tc>
          <w:tcPr>
            <w:tcW w:w="2130" w:type="dxa"/>
            <w:tcBorders>
              <w:top w:val="nil"/>
              <w:left w:val="single" w:color="auto" w:sz="8" w:space="0"/>
              <w:bottom w:val="single" w:color="auto" w:sz="8" w:space="0"/>
              <w:right w:val="single" w:color="auto" w:sz="8" w:space="0"/>
            </w:tcBorders>
            <w:noWrap w:val="0"/>
            <w:vAlign w:val="center"/>
          </w:tcPr>
          <w:p w14:paraId="48D37DC1">
            <w:pPr>
              <w:pageBreakBefore w:val="0"/>
              <w:widowControl/>
              <w:tabs>
                <w:tab w:val="left" w:pos="420"/>
              </w:tabs>
              <w:kinsoku/>
              <w:overflowPunct/>
              <w:topLinePunct w:val="0"/>
              <w:autoSpaceDE/>
              <w:autoSpaceDN/>
              <w:bidi w:val="0"/>
              <w:adjustRightInd/>
              <w:spacing w:line="600" w:lineRule="exact"/>
              <w:ind w:left="0" w:leftChars="0" w:right="0" w:rightChars="0"/>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392" w:type="dxa"/>
            <w:gridSpan w:val="3"/>
            <w:tcBorders>
              <w:top w:val="single" w:color="auto" w:sz="8" w:space="0"/>
              <w:left w:val="nil"/>
              <w:bottom w:val="single" w:color="auto" w:sz="8" w:space="0"/>
              <w:right w:val="single" w:color="000000" w:sz="8" w:space="0"/>
            </w:tcBorders>
            <w:noWrap w:val="0"/>
            <w:vAlign w:val="center"/>
          </w:tcPr>
          <w:p w14:paraId="2A53DF16">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86.71</w:t>
            </w:r>
          </w:p>
        </w:tc>
      </w:tr>
    </w:tbl>
    <w:p w14:paraId="4FF8D65C">
      <w:pPr>
        <w:pageBreakBefore w:val="0"/>
        <w:tabs>
          <w:tab w:val="left" w:pos="420"/>
        </w:tabs>
        <w:kinsoku/>
        <w:overflowPunct/>
        <w:topLinePunct w:val="0"/>
        <w:autoSpaceDE/>
        <w:autoSpaceDN/>
        <w:bidi w:val="0"/>
        <w:adjustRightInd/>
        <w:spacing w:line="600" w:lineRule="exact"/>
        <w:ind w:left="0" w:leftChars="0" w:right="0" w:rightChars="0" w:firstLine="640" w:firstLineChars="200"/>
        <w:jc w:val="lef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2D470C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7FDED2E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297124E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14:paraId="572CE7F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申请人情况</w:t>
            </w:r>
          </w:p>
        </w:tc>
      </w:tr>
      <w:tr w14:paraId="1FF29C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7F9A8F16">
            <w:pPr>
              <w:pageBreakBefore w:val="0"/>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p>
        </w:tc>
        <w:tc>
          <w:tcPr>
            <w:tcW w:w="829" w:type="dxa"/>
            <w:vMerge w:val="restart"/>
            <w:noWrap w:val="0"/>
            <w:tcMar>
              <w:left w:w="108" w:type="dxa"/>
              <w:right w:w="108" w:type="dxa"/>
            </w:tcMar>
            <w:vAlign w:val="center"/>
          </w:tcPr>
          <w:p w14:paraId="51BCCDFE">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14:paraId="60A43EB4">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14:paraId="13D75EB9">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总计</w:t>
            </w:r>
          </w:p>
        </w:tc>
      </w:tr>
      <w:tr w14:paraId="1B2F61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151234BB">
            <w:pPr>
              <w:pageBreakBefore w:val="0"/>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p>
        </w:tc>
        <w:tc>
          <w:tcPr>
            <w:tcW w:w="829" w:type="dxa"/>
            <w:vMerge w:val="continue"/>
            <w:noWrap w:val="0"/>
            <w:tcMar>
              <w:left w:w="108" w:type="dxa"/>
              <w:right w:w="108" w:type="dxa"/>
            </w:tcMar>
            <w:vAlign w:val="center"/>
          </w:tcPr>
          <w:p w14:paraId="0A9C21C0">
            <w:pPr>
              <w:pageBreakBefore w:val="0"/>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Cs w:val="21"/>
              </w:rPr>
            </w:pPr>
          </w:p>
        </w:tc>
        <w:tc>
          <w:tcPr>
            <w:tcW w:w="567" w:type="dxa"/>
            <w:noWrap w:val="0"/>
            <w:tcMar>
              <w:left w:w="108" w:type="dxa"/>
              <w:right w:w="108" w:type="dxa"/>
            </w:tcMar>
            <w:vAlign w:val="center"/>
          </w:tcPr>
          <w:p w14:paraId="28F83172">
            <w:pPr>
              <w:pageBreakBefore w:val="0"/>
              <w:widowControl/>
              <w:tabs>
                <w:tab w:val="left" w:pos="420"/>
              </w:tabs>
              <w:kinsoku/>
              <w:overflowPunct/>
              <w:topLinePunct w:val="0"/>
              <w:autoSpaceDE/>
              <w:autoSpaceDN/>
              <w:bidi w:val="0"/>
              <w:adjustRightInd/>
              <w:spacing w:line="600" w:lineRule="exact"/>
              <w:ind w:left="0" w:leftChars="0" w:right="0" w:rightChars="0" w:hanging="1"/>
              <w:jc w:val="center"/>
              <w:textAlignment w:val="auto"/>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14:paraId="2E491E9B">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14:paraId="2939EA30">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14:paraId="6355B713">
            <w:pPr>
              <w:pageBreakBefore w:val="0"/>
              <w:widowControl/>
              <w:tabs>
                <w:tab w:val="left" w:pos="420"/>
              </w:tabs>
              <w:kinsoku/>
              <w:overflowPunct/>
              <w:topLinePunct w:val="0"/>
              <w:autoSpaceDE/>
              <w:autoSpaceDN/>
              <w:bidi w:val="0"/>
              <w:adjustRightInd/>
              <w:spacing w:line="600" w:lineRule="exact"/>
              <w:ind w:left="0" w:leftChars="0" w:right="0" w:rightChars="0" w:hanging="1"/>
              <w:jc w:val="center"/>
              <w:textAlignment w:val="auto"/>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14:paraId="31B30E1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14:paraId="07F31C69">
            <w:pPr>
              <w:pageBreakBefore w:val="0"/>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p>
        </w:tc>
      </w:tr>
      <w:tr w14:paraId="0F093C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5B388538">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14:paraId="0EB4E1C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38</w:t>
            </w:r>
          </w:p>
        </w:tc>
        <w:tc>
          <w:tcPr>
            <w:tcW w:w="567" w:type="dxa"/>
            <w:noWrap w:val="0"/>
            <w:tcMar>
              <w:left w:w="108" w:type="dxa"/>
              <w:right w:w="108" w:type="dxa"/>
            </w:tcMar>
            <w:vAlign w:val="center"/>
          </w:tcPr>
          <w:p w14:paraId="24D8754A">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88810C5">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56B33E1">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A9DB7EE">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4D5589D">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19A559A">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38</w:t>
            </w:r>
          </w:p>
        </w:tc>
      </w:tr>
      <w:tr w14:paraId="173AC6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3BCD9E76">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14:paraId="7FA5B423">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4E34EB3E">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DA66780">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9B1A819">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9F9786A">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7885CF4">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2C5F68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14:paraId="670990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6762F374">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08937014">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14:paraId="341DCD45">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c>
          <w:tcPr>
            <w:tcW w:w="567" w:type="dxa"/>
            <w:noWrap w:val="0"/>
            <w:tcMar>
              <w:left w:w="108" w:type="dxa"/>
              <w:right w:w="108" w:type="dxa"/>
            </w:tcMar>
            <w:vAlign w:val="center"/>
          </w:tcPr>
          <w:p w14:paraId="30498BF5">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8B267A5">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CDA843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00D1AEE">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F5F997A">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EBAA553">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r>
      <w:tr w14:paraId="576A7D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61C5AAF">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4677" w:type="dxa"/>
            <w:gridSpan w:val="2"/>
            <w:noWrap w:val="0"/>
            <w:tcMar>
              <w:left w:w="108" w:type="dxa"/>
              <w:right w:w="108" w:type="dxa"/>
            </w:tcMar>
            <w:vAlign w:val="center"/>
          </w:tcPr>
          <w:p w14:paraId="111B46C6">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14:paraId="0FB6D16D">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13</w:t>
            </w:r>
          </w:p>
        </w:tc>
        <w:tc>
          <w:tcPr>
            <w:tcW w:w="567" w:type="dxa"/>
            <w:noWrap w:val="0"/>
            <w:tcMar>
              <w:left w:w="108" w:type="dxa"/>
              <w:right w:w="108" w:type="dxa"/>
            </w:tcMar>
            <w:vAlign w:val="center"/>
          </w:tcPr>
          <w:p w14:paraId="6ECDAF8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6A50B0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09622B6">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515EA87">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656C17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928CBF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default"/>
                <w:lang w:val="en-US" w:eastAsia="zh-CN"/>
              </w:rPr>
            </w:pPr>
            <w:r>
              <w:rPr>
                <w:rFonts w:hint="eastAsia" w:ascii="仿宋_GB2312" w:hAnsi="Times New Roman" w:eastAsia="仿宋_GB2312"/>
                <w:szCs w:val="21"/>
                <w:lang w:val="en-US" w:eastAsia="zh-CN"/>
              </w:rPr>
              <w:t>13</w:t>
            </w:r>
          </w:p>
        </w:tc>
      </w:tr>
      <w:tr w14:paraId="19237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8EB0A1F">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restart"/>
            <w:noWrap w:val="0"/>
            <w:tcMar>
              <w:left w:w="108" w:type="dxa"/>
              <w:right w:w="108" w:type="dxa"/>
            </w:tcMar>
            <w:vAlign w:val="center"/>
          </w:tcPr>
          <w:p w14:paraId="0AC611D5">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2470AED4">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14:paraId="28367C3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F4CB22">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CF90CC0">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47C22B2">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E19F179">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7587A69">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4EE929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C4BF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0D9A1A3">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40043CBC">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3AD71FC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14:paraId="5C5AC906">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801ECA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D950BA4">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9F64F70">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6269DEF">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838707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317BB1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1F2CD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6271CD2">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39DD8797">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3A5D5A42">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14:paraId="5F2F51C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D599465">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B730C8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7DAB346">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EC8D8A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15B5FD4">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496C2EA">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F37D5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A724813">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5C72FBAD">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5305E329">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14:paraId="62A9FA9F">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3B93AF2F">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897535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A0E53B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ECBB2B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4E578C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4EEF91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1</w:t>
            </w:r>
          </w:p>
        </w:tc>
      </w:tr>
      <w:tr w14:paraId="79311A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EAEA661">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5DB158CE">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01F3C5C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14:paraId="20AD654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27D74E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F9C1080">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9A5703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7196BA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A93B28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23BCAE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05D14F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5DC0C56">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00FE7ECA">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26008C69">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14:paraId="40BCAED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AF07C5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CBC5415">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607F74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13A310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D09C01F">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6AADA6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54BB04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25C315A">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11FB40DA">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467BF47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14:paraId="2F18451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94DE140">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764AD1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5FB9AB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ECDE12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0A409E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44007BA">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56156F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A403546">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281FFEEF">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272FC6A1">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14:paraId="7D199F11">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06C4029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D0C1026">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CB9134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209D366">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DEC8FE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2C82411">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14:paraId="7DC93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D866291">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restart"/>
            <w:noWrap w:val="0"/>
            <w:tcMar>
              <w:left w:w="108" w:type="dxa"/>
              <w:right w:w="108" w:type="dxa"/>
            </w:tcMar>
            <w:vAlign w:val="center"/>
          </w:tcPr>
          <w:p w14:paraId="71F63243">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7D63398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14:paraId="5B317C95">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13</w:t>
            </w:r>
          </w:p>
        </w:tc>
        <w:tc>
          <w:tcPr>
            <w:tcW w:w="567" w:type="dxa"/>
            <w:noWrap w:val="0"/>
            <w:tcMar>
              <w:left w:w="108" w:type="dxa"/>
              <w:right w:w="108" w:type="dxa"/>
            </w:tcMar>
            <w:vAlign w:val="center"/>
          </w:tcPr>
          <w:p w14:paraId="025398E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ECCC5C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6E33175">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E9B57A5">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6A6F78A">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4555BCA">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default" w:ascii="仿宋_GB2312" w:hAnsi="Times New Roman" w:eastAsia="仿宋_GB2312"/>
                <w:szCs w:val="21"/>
                <w:lang w:val="en-US"/>
              </w:rPr>
            </w:pPr>
            <w:r>
              <w:rPr>
                <w:rFonts w:hint="eastAsia" w:ascii="仿宋_GB2312" w:hAnsi="Times New Roman" w:eastAsia="仿宋_GB2312"/>
                <w:szCs w:val="21"/>
                <w:lang w:val="en-US" w:eastAsia="zh-CN"/>
              </w:rPr>
              <w:t>13</w:t>
            </w:r>
          </w:p>
        </w:tc>
      </w:tr>
      <w:tr w14:paraId="25399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1A8FDD4">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2F854D5A">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55C4B85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14:paraId="5520E16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6C93C8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26836D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93D556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BBC61B0">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248D0B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A70BDE9">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1A6AD9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D5C556A">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696E308E">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040D6B40">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14:paraId="10D6F3D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98E92D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B0430E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A8984C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06C2D5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44C331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E64C2CA">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83D56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D932C2B">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restart"/>
            <w:noWrap w:val="0"/>
            <w:tcMar>
              <w:left w:w="108" w:type="dxa"/>
              <w:right w:w="108" w:type="dxa"/>
            </w:tcMar>
            <w:vAlign w:val="center"/>
          </w:tcPr>
          <w:p w14:paraId="41A3E824">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52F92AF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14:paraId="7609C112">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DD062F6">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4EEC7B9">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AA294E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7DDDF1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118FCA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CEBDFBF">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6176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6DD52AF">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18D6A13F">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3A4ACCB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14:paraId="705DBF7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6206D2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1C3FBD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A70F4E2">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C2E25D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45FF8C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1C46CFA">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2BE52C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A4BCBE0">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41DCFA4C">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264605A1">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14:paraId="0ADF06D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9BDB57A">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FEF52D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2C880A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9209AD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40919F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97996C6">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6768C7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4" w:hRule="exact"/>
          <w:jc w:val="center"/>
        </w:trPr>
        <w:tc>
          <w:tcPr>
            <w:tcW w:w="416" w:type="dxa"/>
            <w:vMerge w:val="continue"/>
            <w:noWrap w:val="0"/>
            <w:tcMar>
              <w:left w:w="108" w:type="dxa"/>
              <w:right w:w="108" w:type="dxa"/>
            </w:tcMar>
            <w:vAlign w:val="center"/>
          </w:tcPr>
          <w:p w14:paraId="13D0CA85">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17992B52">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62735F21">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14:paraId="3112318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BB27C6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5176B2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8A4BFF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E09AC56">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5963BE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763D074">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495599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A3C8601">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007FED77">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2976" w:type="dxa"/>
            <w:noWrap w:val="0"/>
            <w:tcMar>
              <w:left w:w="108" w:type="dxa"/>
              <w:right w:w="108" w:type="dxa"/>
            </w:tcMar>
            <w:vAlign w:val="center"/>
          </w:tcPr>
          <w:p w14:paraId="0382B01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14:paraId="125969C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68546B2">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5B0B509">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7FF080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17FB18B">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0154BA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ECD9D2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123465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66E0EAA">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restart"/>
            <w:noWrap w:val="0"/>
            <w:tcMar>
              <w:left w:w="108" w:type="dxa"/>
              <w:right w:w="108" w:type="dxa"/>
            </w:tcMar>
            <w:vAlign w:val="center"/>
          </w:tcPr>
          <w:p w14:paraId="110BFDB3">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7A99F2E2">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14:paraId="154E375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14:paraId="3BBEF1B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0DC126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CE7D1E6">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651446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83F455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9A8FBB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1</w:t>
            </w:r>
          </w:p>
        </w:tc>
      </w:tr>
      <w:tr w14:paraId="32C829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B74A03D">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6D4DDD86">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kern w:val="0"/>
                <w:szCs w:val="21"/>
              </w:rPr>
            </w:pPr>
          </w:p>
        </w:tc>
        <w:tc>
          <w:tcPr>
            <w:tcW w:w="2976" w:type="dxa"/>
            <w:noWrap w:val="0"/>
            <w:vAlign w:val="center"/>
          </w:tcPr>
          <w:p w14:paraId="09DE538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both"/>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7FF0C23A">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E4DD0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A491E0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1788EF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F6F40D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21F2D8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C553466">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14:paraId="2892D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2D858C2">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1701" w:type="dxa"/>
            <w:vMerge w:val="continue"/>
            <w:noWrap w:val="0"/>
            <w:tcMar>
              <w:left w:w="108" w:type="dxa"/>
              <w:right w:w="108" w:type="dxa"/>
            </w:tcMar>
            <w:vAlign w:val="center"/>
          </w:tcPr>
          <w:p w14:paraId="53F97565">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kern w:val="0"/>
                <w:szCs w:val="21"/>
              </w:rPr>
            </w:pPr>
          </w:p>
        </w:tc>
        <w:tc>
          <w:tcPr>
            <w:tcW w:w="2976" w:type="dxa"/>
            <w:noWrap w:val="0"/>
            <w:vAlign w:val="center"/>
          </w:tcPr>
          <w:p w14:paraId="38C253E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textAlignment w:val="auto"/>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14:paraId="15C55DD3">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c>
          <w:tcPr>
            <w:tcW w:w="567" w:type="dxa"/>
            <w:noWrap w:val="0"/>
            <w:tcMar>
              <w:left w:w="108" w:type="dxa"/>
              <w:right w:w="108" w:type="dxa"/>
            </w:tcMar>
            <w:vAlign w:val="center"/>
          </w:tcPr>
          <w:p w14:paraId="1DF312D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17DAC02">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EC31514">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0C1969C">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4BDCCFF">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053823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r>
      <w:tr w14:paraId="528941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F8AA907">
            <w:pPr>
              <w:pageBreakBefore w:val="0"/>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szCs w:val="21"/>
              </w:rPr>
            </w:pPr>
          </w:p>
        </w:tc>
        <w:tc>
          <w:tcPr>
            <w:tcW w:w="4677" w:type="dxa"/>
            <w:gridSpan w:val="2"/>
            <w:noWrap w:val="0"/>
            <w:tcMar>
              <w:left w:w="108" w:type="dxa"/>
              <w:right w:w="108" w:type="dxa"/>
            </w:tcMar>
            <w:vAlign w:val="center"/>
          </w:tcPr>
          <w:p w14:paraId="39A1F918">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14:paraId="0EEE76C5">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39</w:t>
            </w:r>
          </w:p>
        </w:tc>
        <w:tc>
          <w:tcPr>
            <w:tcW w:w="567" w:type="dxa"/>
            <w:noWrap w:val="0"/>
            <w:tcMar>
              <w:left w:w="108" w:type="dxa"/>
              <w:right w:w="108" w:type="dxa"/>
            </w:tcMar>
            <w:vAlign w:val="center"/>
          </w:tcPr>
          <w:p w14:paraId="255515DF">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3D1170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01A3D3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E10C5B8">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39D4ADF">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D2CEE7E">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39</w:t>
            </w:r>
          </w:p>
        </w:tc>
      </w:tr>
      <w:tr w14:paraId="48EA7A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5EAC3DF2">
            <w:pPr>
              <w:pageBreakBefore w:val="0"/>
              <w:widowControl/>
              <w:tabs>
                <w:tab w:val="left" w:pos="420"/>
              </w:tabs>
              <w:kinsoku/>
              <w:overflowPunct/>
              <w:topLinePunct w:val="0"/>
              <w:autoSpaceDE/>
              <w:autoSpaceDN/>
              <w:bidi w:val="0"/>
              <w:adjustRightInd/>
              <w:spacing w:line="600" w:lineRule="exact"/>
              <w:ind w:left="0" w:leftChars="0" w:right="0" w:rightChars="0"/>
              <w:textAlignment w:val="auto"/>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14:paraId="0E8E2F9D">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65BF017">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A490679">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47A7935">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9FDDBE9">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28BB800">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1E0E775">
            <w:pPr>
              <w:keepNext w:val="0"/>
              <w:keepLines w:val="0"/>
              <w:pageBreakBefore w:val="0"/>
              <w:widowControl/>
              <w:tabs>
                <w:tab w:val="left" w:pos="420"/>
              </w:tabs>
              <w:kinsoku/>
              <w:wordWrap/>
              <w:overflowPunct/>
              <w:topLinePunct w:val="0"/>
              <w:autoSpaceDE/>
              <w:autoSpaceDN/>
              <w:bidi w:val="0"/>
              <w:adjustRightInd/>
              <w:snapToGrid/>
              <w:spacing w:line="500" w:lineRule="exact"/>
              <w:ind w:left="0" w:leftChars="0" w:right="0" w:rightChars="0"/>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14:paraId="6EDC62EF">
      <w:pPr>
        <w:pageBreakBefore w:val="0"/>
        <w:tabs>
          <w:tab w:val="left" w:pos="420"/>
        </w:tabs>
        <w:kinsoku/>
        <w:overflowPunct/>
        <w:topLinePunct w:val="0"/>
        <w:autoSpaceDE/>
        <w:autoSpaceDN/>
        <w:bidi w:val="0"/>
        <w:adjustRightInd/>
        <w:spacing w:line="600" w:lineRule="exact"/>
        <w:ind w:left="0" w:leftChars="0" w:right="0" w:rightChars="0" w:firstLine="640" w:firstLineChars="200"/>
        <w:jc w:val="lef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CC99D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934CCF7">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567054B9">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行政诉讼</w:t>
            </w:r>
          </w:p>
        </w:tc>
      </w:tr>
      <w:tr w14:paraId="3A2201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9922F0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kern w:val="0"/>
                <w:sz w:val="20"/>
                <w:szCs w:val="20"/>
              </w:rPr>
            </w:pPr>
            <w:r>
              <w:rPr>
                <w:rFonts w:ascii="黑体" w:hAnsi="黑体" w:eastAsia="黑体"/>
                <w:kern w:val="0"/>
                <w:sz w:val="20"/>
                <w:szCs w:val="20"/>
              </w:rPr>
              <w:t>结果</w:t>
            </w:r>
          </w:p>
          <w:p w14:paraId="474B9CB6">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48E56799">
            <w:pPr>
              <w:pageBreakBefore w:val="0"/>
              <w:widowControl/>
              <w:tabs>
                <w:tab w:val="left" w:pos="420"/>
              </w:tabs>
              <w:kinsoku/>
              <w:overflowPunct/>
              <w:topLinePunct w:val="0"/>
              <w:autoSpaceDE/>
              <w:autoSpaceDN/>
              <w:bidi w:val="0"/>
              <w:adjustRightInd/>
              <w:spacing w:line="600" w:lineRule="exact"/>
              <w:ind w:left="0" w:leftChars="0" w:right="0" w:rightChars="0"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573E14A">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E4CAC31">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kern w:val="0"/>
                <w:sz w:val="20"/>
                <w:szCs w:val="20"/>
              </w:rPr>
            </w:pPr>
            <w:r>
              <w:rPr>
                <w:rFonts w:ascii="黑体" w:hAnsi="黑体" w:eastAsia="黑体"/>
                <w:kern w:val="0"/>
                <w:sz w:val="20"/>
                <w:szCs w:val="20"/>
              </w:rPr>
              <w:t>尚未</w:t>
            </w:r>
          </w:p>
          <w:p w14:paraId="010F84BE">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092DF71">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kern w:val="0"/>
                <w:sz w:val="20"/>
                <w:szCs w:val="20"/>
              </w:rPr>
            </w:pPr>
            <w:r>
              <w:rPr>
                <w:rFonts w:ascii="黑体" w:hAnsi="黑体" w:eastAsia="黑体"/>
                <w:kern w:val="0"/>
                <w:sz w:val="20"/>
                <w:szCs w:val="20"/>
              </w:rPr>
              <w:t>总</w:t>
            </w:r>
          </w:p>
          <w:p w14:paraId="376C1233">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342096D">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9EE4563">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bookmarkStart w:id="10" w:name="_Hlk67039688"/>
            <w:r>
              <w:rPr>
                <w:rFonts w:ascii="黑体" w:hAnsi="黑体" w:eastAsia="黑体"/>
                <w:kern w:val="0"/>
                <w:sz w:val="20"/>
                <w:szCs w:val="20"/>
              </w:rPr>
              <w:t>复议后起诉</w:t>
            </w:r>
            <w:bookmarkEnd w:id="10"/>
          </w:p>
        </w:tc>
      </w:tr>
      <w:tr w14:paraId="42A6B0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A0F1128">
            <w:pPr>
              <w:pageBreakBefore w:val="0"/>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44050BEA">
            <w:pPr>
              <w:pageBreakBefore w:val="0"/>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D7E2918">
            <w:pPr>
              <w:pageBreakBefore w:val="0"/>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8332555">
            <w:pPr>
              <w:pageBreakBefore w:val="0"/>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F38EE9D">
            <w:pPr>
              <w:pageBreakBefore w:val="0"/>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43DC68C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7414B22">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2FC333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kern w:val="0"/>
                <w:sz w:val="20"/>
                <w:szCs w:val="20"/>
              </w:rPr>
            </w:pPr>
            <w:r>
              <w:rPr>
                <w:rFonts w:ascii="黑体" w:hAnsi="黑体" w:eastAsia="黑体"/>
                <w:kern w:val="0"/>
                <w:sz w:val="20"/>
                <w:szCs w:val="20"/>
              </w:rPr>
              <w:t>其他</w:t>
            </w:r>
          </w:p>
          <w:p w14:paraId="23E43B51">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9D5563C">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kern w:val="0"/>
                <w:sz w:val="20"/>
                <w:szCs w:val="20"/>
              </w:rPr>
            </w:pPr>
            <w:r>
              <w:rPr>
                <w:rFonts w:ascii="黑体" w:hAnsi="黑体" w:eastAsia="黑体"/>
                <w:kern w:val="0"/>
                <w:sz w:val="20"/>
                <w:szCs w:val="20"/>
              </w:rPr>
              <w:t>尚未</w:t>
            </w:r>
          </w:p>
          <w:p w14:paraId="63773656">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01D46CD">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34C380F">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52FF8DD">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kern w:val="0"/>
                <w:sz w:val="20"/>
                <w:szCs w:val="20"/>
              </w:rPr>
            </w:pPr>
            <w:r>
              <w:rPr>
                <w:rFonts w:ascii="黑体" w:hAnsi="黑体" w:eastAsia="黑体"/>
                <w:kern w:val="0"/>
                <w:sz w:val="20"/>
                <w:szCs w:val="20"/>
              </w:rPr>
              <w:t>结果</w:t>
            </w:r>
          </w:p>
          <w:p w14:paraId="778F72BD">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5CF1C4A">
            <w:pPr>
              <w:pageBreakBefore w:val="0"/>
              <w:widowControl/>
              <w:tabs>
                <w:tab w:val="left" w:pos="420"/>
              </w:tabs>
              <w:kinsoku/>
              <w:overflowPunct/>
              <w:topLinePunct w:val="0"/>
              <w:autoSpaceDE/>
              <w:autoSpaceDN/>
              <w:bidi w:val="0"/>
              <w:adjustRightInd/>
              <w:spacing w:line="600" w:lineRule="exact"/>
              <w:ind w:left="0" w:leftChars="0" w:right="0" w:rightChars="0" w:hanging="1"/>
              <w:jc w:val="center"/>
              <w:textAlignment w:val="auto"/>
              <w:rPr>
                <w:rFonts w:ascii="黑体" w:hAnsi="黑体" w:eastAsia="黑体"/>
                <w:kern w:val="0"/>
                <w:sz w:val="20"/>
                <w:szCs w:val="20"/>
              </w:rPr>
            </w:pPr>
            <w:r>
              <w:rPr>
                <w:rFonts w:ascii="黑体" w:hAnsi="黑体" w:eastAsia="黑体"/>
                <w:kern w:val="0"/>
                <w:sz w:val="20"/>
                <w:szCs w:val="20"/>
              </w:rPr>
              <w:t>其他</w:t>
            </w:r>
          </w:p>
          <w:p w14:paraId="33EC00FC">
            <w:pPr>
              <w:pageBreakBefore w:val="0"/>
              <w:widowControl/>
              <w:tabs>
                <w:tab w:val="left" w:pos="420"/>
              </w:tabs>
              <w:kinsoku/>
              <w:overflowPunct/>
              <w:topLinePunct w:val="0"/>
              <w:autoSpaceDE/>
              <w:autoSpaceDN/>
              <w:bidi w:val="0"/>
              <w:adjustRightInd/>
              <w:spacing w:line="600" w:lineRule="exact"/>
              <w:ind w:left="0" w:leftChars="0" w:right="0" w:rightChars="0" w:hanging="1"/>
              <w:jc w:val="center"/>
              <w:textAlignment w:val="auto"/>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18DBCF0">
            <w:pPr>
              <w:pageBreakBefore w:val="0"/>
              <w:widowControl/>
              <w:tabs>
                <w:tab w:val="left" w:pos="420"/>
              </w:tabs>
              <w:kinsoku/>
              <w:overflowPunct/>
              <w:topLinePunct w:val="0"/>
              <w:autoSpaceDE/>
              <w:autoSpaceDN/>
              <w:bidi w:val="0"/>
              <w:adjustRightInd/>
              <w:spacing w:line="600" w:lineRule="exact"/>
              <w:ind w:left="2" w:leftChars="0" w:right="0" w:rightChars="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14E67A7">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黑体" w:hAnsi="黑体" w:eastAsia="黑体"/>
              </w:rPr>
            </w:pPr>
            <w:r>
              <w:rPr>
                <w:rFonts w:ascii="黑体" w:hAnsi="黑体" w:eastAsia="黑体"/>
                <w:kern w:val="0"/>
                <w:sz w:val="20"/>
                <w:szCs w:val="20"/>
              </w:rPr>
              <w:t>总计</w:t>
            </w:r>
          </w:p>
        </w:tc>
      </w:tr>
      <w:tr w14:paraId="0C0244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9DAEC17">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Times New Roman" w:hAnsi="Times New Roman" w:eastAsia="宋体"/>
                <w:lang w:val="en-US" w:eastAsia="zh-CN"/>
              </w:rPr>
            </w:pPr>
            <w:r>
              <w:rPr>
                <w:rFonts w:hint="eastAsia" w:ascii="Times New Roman" w:hAnsi="Times New Roman"/>
                <w:lang w:val="en-US" w:eastAsia="zh-CN"/>
              </w:rPr>
              <w:t>2</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C860FB1">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3D72E5B0">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EC194D1">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217DFBA7">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hint="eastAsia" w:ascii="Times New Roman" w:hAnsi="Times New Roman" w:eastAsia="宋体"/>
                <w:lang w:val="en-US" w:eastAsia="zh-CN"/>
              </w:rPr>
            </w:pPr>
            <w:r>
              <w:rPr>
                <w:rFonts w:hint="eastAsia" w:ascii="Times New Roman" w:hAnsi="Times New Roman"/>
                <w:lang w:val="en-US" w:eastAsia="zh-CN"/>
              </w:rPr>
              <w:t>2</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5C00EFF">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C6E1DA6">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D8F0818">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D51228E">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DAFBAC3">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A9C133B">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70E04CE">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9DA1739">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2BF194F">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9F52AC8">
            <w:pPr>
              <w:pageBreakBefore w:val="0"/>
              <w:widowControl/>
              <w:tabs>
                <w:tab w:val="left" w:pos="420"/>
              </w:tabs>
              <w:kinsoku/>
              <w:overflowPunct/>
              <w:topLinePunct w:val="0"/>
              <w:autoSpaceDE/>
              <w:autoSpaceDN/>
              <w:bidi w:val="0"/>
              <w:adjustRightInd/>
              <w:spacing w:line="600" w:lineRule="exact"/>
              <w:ind w:left="0" w:leftChars="0" w:right="0" w:rightChars="0"/>
              <w:jc w:val="center"/>
              <w:textAlignment w:val="auto"/>
              <w:rPr>
                <w:rFonts w:ascii="Times New Roman" w:hAnsi="Times New Roman"/>
              </w:rPr>
            </w:pPr>
            <w:r>
              <w:rPr>
                <w:rFonts w:hint="eastAsia" w:ascii="Times New Roman" w:hAnsi="Times New Roman"/>
                <w:lang w:val="en-US" w:eastAsia="zh-CN"/>
              </w:rPr>
              <w:t>0</w:t>
            </w:r>
          </w:p>
        </w:tc>
      </w:tr>
    </w:tbl>
    <w:p w14:paraId="078DDDAA">
      <w:pPr>
        <w:pStyle w:val="2"/>
        <w:pageBreakBefore w:val="0"/>
        <w:numPr>
          <w:ilvl w:val="0"/>
          <w:numId w:val="0"/>
        </w:numPr>
        <w:tabs>
          <w:tab w:val="left" w:pos="420"/>
        </w:tabs>
        <w:kinsoku/>
        <w:overflowPunct/>
        <w:topLinePunct w:val="0"/>
        <w:autoSpaceDE/>
        <w:autoSpaceDN/>
        <w:bidi w:val="0"/>
        <w:adjustRightInd/>
        <w:spacing w:before="0" w:after="0" w:line="600" w:lineRule="exact"/>
        <w:ind w:left="0" w:leftChars="0" w:right="0" w:rightChars="0" w:firstLine="640" w:firstLineChars="200"/>
        <w:textAlignment w:val="auto"/>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14:paraId="4DC64999">
      <w:pPr>
        <w:pStyle w:val="3"/>
        <w:pageBreakBefore w:val="0"/>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（一）存在的主要问题</w:t>
      </w:r>
    </w:p>
    <w:p w14:paraId="6691CCB9">
      <w:pPr>
        <w:keepNext w:val="0"/>
        <w:keepLines w:val="0"/>
        <w:pageBreakBefore w:val="0"/>
        <w:widowControl w:val="0"/>
        <w:tabs>
          <w:tab w:val="left" w:pos="420"/>
        </w:tabs>
        <w:kinsoku/>
        <w:wordWrap/>
        <w:overflowPunct/>
        <w:topLinePunct w:val="0"/>
        <w:autoSpaceDE/>
        <w:autoSpaceDN/>
        <w:bidi w:val="0"/>
        <w:adjustRightInd/>
        <w:spacing w:line="60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政务公开业务能力不足，对住建领域公开要点把握不准，主动公开内容针对性不强，工作动态公示不及时、不全面，公开与业务融合不深，部分科室未将公开要求完全嵌入业务流程，存在信息公开滞后问题。</w:t>
      </w:r>
    </w:p>
    <w:p w14:paraId="605AC52D">
      <w:pPr>
        <w:pStyle w:val="3"/>
        <w:keepNext w:val="0"/>
        <w:keepLines w:val="0"/>
        <w:pageBreakBefore w:val="0"/>
        <w:widowControl w:val="0"/>
        <w:tabs>
          <w:tab w:val="left" w:pos="420"/>
        </w:tabs>
        <w:kinsoku/>
        <w:wordWrap/>
        <w:overflowPunct/>
        <w:topLinePunct w:val="0"/>
        <w:autoSpaceDE/>
        <w:autoSpaceDN/>
        <w:bidi w:val="0"/>
        <w:adjustRightInd/>
        <w:spacing w:line="600" w:lineRule="exact"/>
        <w:ind w:left="0" w:leftChars="0" w:right="0" w:rightChars="0"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（二）改进情况</w:t>
      </w:r>
    </w:p>
    <w:p w14:paraId="44099229">
      <w:pPr>
        <w:keepNext w:val="0"/>
        <w:keepLines w:val="0"/>
        <w:pageBreakBefore w:val="0"/>
        <w:widowControl w:val="0"/>
        <w:tabs>
          <w:tab w:val="left" w:pos="420"/>
        </w:tabs>
        <w:kinsoku/>
        <w:wordWrap/>
        <w:overflowPunct/>
        <w:topLinePunct w:val="0"/>
        <w:autoSpaceDE/>
        <w:autoSpaceDN/>
        <w:bidi w:val="0"/>
        <w:adjustRightInd/>
        <w:spacing w:line="60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强化公开能力建设，组织政府信息工作专员及各科室负责人，深入学习《条例》，准确把握政府信息公开工作机构的具体职责、住建信息公开范围等，建立信息发布审核台账，确保住建政策、工作动态等信息及时、准确公开。深化业务融合，梳理水利业务全流程节点，将信息公开要求嵌入项目审批、工程建设、政策落实等关键环节，明确各环节公开内容、责任主体和时限要求，实现业务开展与信息公开同步推进。</w:t>
      </w:r>
    </w:p>
    <w:p w14:paraId="6EBE4FE7">
      <w:pPr>
        <w:pStyle w:val="2"/>
        <w:pageBreakBefore w:val="0"/>
        <w:numPr>
          <w:ilvl w:val="0"/>
          <w:numId w:val="0"/>
        </w:numPr>
        <w:tabs>
          <w:tab w:val="left" w:pos="420"/>
        </w:tabs>
        <w:kinsoku/>
        <w:overflowPunct/>
        <w:topLinePunct w:val="0"/>
        <w:autoSpaceDE/>
        <w:autoSpaceDN/>
        <w:bidi w:val="0"/>
        <w:adjustRightInd/>
        <w:spacing w:before="0" w:after="0" w:line="600" w:lineRule="exact"/>
        <w:ind w:left="0" w:leftChars="0" w:right="0" w:rightChars="0" w:firstLine="640" w:firstLineChars="200"/>
        <w:textAlignment w:val="auto"/>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14:paraId="0272DCA4">
      <w:pPr>
        <w:pageBreakBefore w:val="0"/>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（一）政府信息公开信息处理费收取情况</w:t>
      </w:r>
    </w:p>
    <w:p w14:paraId="553403B7">
      <w:pPr>
        <w:pageBreakBefore w:val="0"/>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14:paraId="66D869A9">
      <w:pPr>
        <w:pageBreakBefore w:val="0"/>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（二）落实年度政务公开工作要点情况</w:t>
      </w:r>
    </w:p>
    <w:p w14:paraId="18BC4BF8">
      <w:pPr>
        <w:pStyle w:val="4"/>
        <w:keepNext w:val="0"/>
        <w:keepLines w:val="0"/>
        <w:pageBreakBefore w:val="0"/>
        <w:widowControl/>
        <w:suppressLineNumbers w:val="0"/>
        <w:tabs>
          <w:tab w:val="left" w:pos="420"/>
        </w:tabs>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eastAsia="仿宋_GB2312"/>
          <w:sz w:val="32"/>
          <w:szCs w:val="32"/>
          <w:lang w:eastAsia="zh-CN"/>
        </w:rPr>
      </w:pPr>
      <w:r>
        <w:rPr>
          <w:rFonts w:hint="eastAsia" w:ascii="仿宋_GB2312" w:hAnsi="仿宋_GB2312" w:eastAsia="仿宋_GB2312" w:cs="仿宋_GB2312"/>
          <w:sz w:val="32"/>
          <w:szCs w:val="32"/>
        </w:rPr>
        <w:t>根据《冠县人民政府办公室关于202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年政务公开重点工作任务分工的通知》要求，制定《冠县住房和城乡建设局202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年政务公开重点工作任务分工》，</w:t>
      </w:r>
      <w:r>
        <w:rPr>
          <w:rFonts w:hint="eastAsia" w:ascii="仿宋_GB2312" w:hAnsi="仿宋_GB2312" w:eastAsia="仿宋_GB2312" w:cs="仿宋_GB2312"/>
          <w:sz w:val="32"/>
          <w:szCs w:val="32"/>
          <w:lang w:eastAsia="zh-CN"/>
        </w:rPr>
        <w:t>明确业务科室职责与公开期限，做好住房保障、补贴政策等住建领域信息公开工作。</w:t>
      </w:r>
    </w:p>
    <w:p w14:paraId="1535C5C8">
      <w:pPr>
        <w:pageBreakBefore w:val="0"/>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（三）人大代表建议和政协提案办理结果公开情况</w:t>
      </w:r>
    </w:p>
    <w:p w14:paraId="4EF3CB42">
      <w:pPr>
        <w:pageBreakBefore w:val="0"/>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2025年共办理人大代表建议14件、政协提案12件，办复率均为100%。严格按照《山东省人民政府办公厅关于做好人大代表建议和政协提案办理结果公开工作的通知》（鲁政办字〔2016〕63号）要求，除涉及国家秘密、工作秘密的，</w:t>
      </w:r>
      <w:r>
        <w:rPr>
          <w:rFonts w:hint="eastAsia" w:ascii="Times New Roman" w:hAnsi="Times New Roman" w:eastAsia="仿宋_GB2312" w:cs="仿宋_GB2312"/>
          <w:sz w:val="32"/>
          <w:szCs w:val="32"/>
        </w:rPr>
        <w:t>所有建议提案办理复文或摘要以及办理总体情况均在</w:t>
      </w:r>
      <w:r>
        <w:rPr>
          <w:rFonts w:hint="eastAsia" w:ascii="仿宋_GB2312" w:eastAsia="仿宋_GB2312"/>
          <w:sz w:val="32"/>
          <w:szCs w:val="32"/>
          <w:lang w:val="en-US" w:eastAsia="zh-CN"/>
        </w:rPr>
        <w:t>冠县人民政府网站“冠县建议提案办理”专栏进行了集中公开。</w:t>
      </w:r>
    </w:p>
    <w:p w14:paraId="0A4F2CF0">
      <w:pPr>
        <w:pageBreakBefore w:val="0"/>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（四）政务公开工作创新情况</w:t>
      </w:r>
    </w:p>
    <w:p w14:paraId="41B2096C">
      <w:pPr>
        <w:pageBreakBefore w:val="0"/>
        <w:shd w:val="clear"/>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9月17日，冠县住房和城乡建设局开展“政府开放日”活动。在县法治文化广场开设政策宣讲点，通过现场讲解住房保障政策、发放政策明白纸，主动公开住房租赁补贴申请条件、补贴标准、发放流程、需提交的材料、补贴期限、申请时间等信息，助力抓好保障性住房政策落实。</w:t>
      </w:r>
    </w:p>
    <w:p w14:paraId="6BA129AC">
      <w:pPr>
        <w:keepNext w:val="0"/>
        <w:keepLines w:val="0"/>
        <w:widowControl/>
        <w:suppressLineNumbers w:val="0"/>
        <w:tabs>
          <w:tab w:val="left" w:pos="420"/>
        </w:tabs>
        <w:jc w:val="left"/>
      </w:pPr>
      <w:r>
        <w:rPr>
          <w:rFonts w:ascii="宋体" w:hAnsi="宋体" w:eastAsia="宋体" w:cs="宋体"/>
          <w:kern w:val="0"/>
          <w:sz w:val="24"/>
          <w:szCs w:val="24"/>
          <w:lang w:val="en-US" w:eastAsia="zh-CN" w:bidi="ar"/>
        </w:rPr>
        <w:drawing>
          <wp:inline distT="0" distB="0" distL="114300" distR="114300">
            <wp:extent cx="5454015" cy="4091305"/>
            <wp:effectExtent l="0" t="0" r="13335" b="4445"/>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6"/>
                    <a:stretch>
                      <a:fillRect/>
                    </a:stretch>
                  </pic:blipFill>
                  <pic:spPr>
                    <a:xfrm>
                      <a:off x="0" y="0"/>
                      <a:ext cx="5454015" cy="4091305"/>
                    </a:xfrm>
                    <a:prstGeom prst="rect">
                      <a:avLst/>
                    </a:prstGeom>
                    <a:noFill/>
                    <a:ln w="9525">
                      <a:noFill/>
                    </a:ln>
                  </pic:spPr>
                </pic:pic>
              </a:graphicData>
            </a:graphic>
          </wp:inline>
        </w:drawing>
      </w:r>
    </w:p>
    <w:p w14:paraId="1537703F">
      <w:pPr>
        <w:pageBreakBefore w:val="0"/>
        <w:shd w:val="clear"/>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本次宣传活动的开展，扩大了政策的知晓度，现场解答了60余位群众的住房诉求等问题，发放政策明白纸150余份，取得了良好的宣传效果，真正做到了把好政策送到群众手里，把好事办好。</w:t>
      </w:r>
    </w:p>
    <w:p w14:paraId="5D40279C">
      <w:pPr>
        <w:pageBreakBefore w:val="0"/>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（五）政府信息公开年度报告数据统计需要说明的事项</w:t>
      </w:r>
    </w:p>
    <w:p w14:paraId="5CF551AC">
      <w:pPr>
        <w:pageBreakBefore w:val="0"/>
        <w:shd w:val="clear"/>
        <w:tabs>
          <w:tab w:val="left" w:pos="420"/>
        </w:tabs>
        <w:kinsoku/>
        <w:overflowPunct/>
        <w:topLinePunct w:val="0"/>
        <w:autoSpaceDE/>
        <w:autoSpaceDN/>
        <w:bidi w:val="0"/>
        <w:adjustRightInd/>
        <w:spacing w:line="60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14:paraId="1C075077">
      <w:pPr>
        <w:pStyle w:val="4"/>
        <w:pageBreakBefore w:val="0"/>
        <w:shd w:val="clear" w:color="auto"/>
        <w:tabs>
          <w:tab w:val="left" w:pos="420"/>
        </w:tabs>
        <w:kinsoku/>
        <w:overflowPunct/>
        <w:topLinePunct w:val="0"/>
        <w:autoSpaceDE/>
        <w:autoSpaceDN/>
        <w:bidi w:val="0"/>
        <w:adjustRightInd/>
        <w:spacing w:beforeAutospacing="0" w:afterAutospacing="0" w:line="600" w:lineRule="exact"/>
        <w:ind w:left="0" w:leftChars="0" w:right="0" w:rightChars="0" w:firstLine="640" w:firstLineChars="200"/>
        <w:jc w:val="both"/>
        <w:textAlignment w:val="auto"/>
        <w:rPr>
          <w:rFonts w:ascii="仿宋_GB2312" w:hAnsi="Times New Roman" w:eastAsia="仿宋_GB2312" w:cs="仿宋_GB2312"/>
          <w:sz w:val="32"/>
          <w:szCs w:val="32"/>
          <w:shd w:val="clear" w:color="auto" w:fill="FFFFFF"/>
        </w:rPr>
      </w:pPr>
      <w:r>
        <w:rPr>
          <w:rFonts w:ascii="仿宋_GB2312" w:hAnsi="Times New Roman" w:eastAsia="仿宋_GB2312" w:cs="仿宋_GB2312"/>
          <w:sz w:val="32"/>
          <w:szCs w:val="32"/>
          <w:shd w:val="clear" w:color="auto" w:fill="FFFFFF"/>
        </w:rPr>
        <w:t>2</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行政许可数量、行政处罚和行政强制数量，包括已公开和依法未公开的全部处理决定。</w:t>
      </w:r>
    </w:p>
    <w:p w14:paraId="7EB40B92">
      <w:pPr>
        <w:pStyle w:val="4"/>
        <w:pageBreakBefore w:val="0"/>
        <w:shd w:val="clear" w:color="auto"/>
        <w:tabs>
          <w:tab w:val="left" w:pos="420"/>
        </w:tabs>
        <w:kinsoku/>
        <w:overflowPunct/>
        <w:topLinePunct w:val="0"/>
        <w:autoSpaceDE/>
        <w:autoSpaceDN/>
        <w:bidi w:val="0"/>
        <w:adjustRightInd/>
        <w:spacing w:beforeAutospacing="0" w:afterAutospacing="0" w:line="600" w:lineRule="exact"/>
        <w:ind w:left="0" w:leftChars="0" w:right="0" w:rightChars="0" w:firstLine="640" w:firstLineChars="200"/>
        <w:jc w:val="both"/>
        <w:textAlignment w:val="auto"/>
        <w:rPr>
          <w:rFonts w:ascii="仿宋_GB2312" w:hAnsi="Times New Roman" w:eastAsia="仿宋_GB2312"/>
          <w:sz w:val="32"/>
          <w:szCs w:val="32"/>
          <w:shd w:val="clear" w:color="auto" w:fill="FFFFFF"/>
        </w:rPr>
      </w:pPr>
      <w:r>
        <w:rPr>
          <w:rFonts w:ascii="仿宋_GB2312" w:hAnsi="Times New Roman" w:eastAsia="仿宋_GB2312" w:cs="仿宋_GB2312"/>
          <w:sz w:val="32"/>
          <w:szCs w:val="32"/>
          <w:shd w:val="clear" w:color="auto" w:fill="FFFFFF"/>
        </w:rPr>
        <w:t>3</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行政复议机关作为共同被告的行政诉讼案件，只计算原行为主体的案件数量，不计算行政复议机关的案件数量。</w:t>
      </w:r>
    </w:p>
    <w:p w14:paraId="2B336D2B">
      <w:pPr>
        <w:tabs>
          <w:tab w:val="left" w:pos="420"/>
        </w:tabs>
      </w:pPr>
    </w:p>
    <w:sectPr>
      <w:pgSz w:w="11906" w:h="16838"/>
      <w:pgMar w:top="1701"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F1E7C"/>
    <w:rsid w:val="122A16C2"/>
    <w:rsid w:val="26C7036C"/>
    <w:rsid w:val="55072450"/>
    <w:rsid w:val="748575D8"/>
    <w:rsid w:val="7AFD6566"/>
    <w:rsid w:val="7EFF1E7C"/>
    <w:rsid w:val="BFF503E2"/>
    <w:rsid w:val="F4FF2735"/>
    <w:rsid w:val="F57734BC"/>
    <w:rsid w:val="FDBE02F8"/>
    <w:rsid w:val="FFBB5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Autospacing="1" w:afterAutospacing="1"/>
      <w:jc w:val="left"/>
    </w:pPr>
    <w:rPr>
      <w:rFonts w:cs="Times New Roman"/>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2919</Words>
  <Characters>3101</Characters>
  <Lines>0</Lines>
  <Paragraphs>0</Paragraphs>
  <TotalTime>16</TotalTime>
  <ScaleCrop>false</ScaleCrop>
  <LinksUpToDate>false</LinksUpToDate>
  <CharactersWithSpaces>3102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2026-01-14T07:56:00Z</dcterms:created>
  <dc:creator>uos</dc:creator>
  <cp:lastModifiedBy>cookie</cp:lastModifiedBy>
  <dcterms:modified xsi:type="dcterms:W3CDTF">2026-05-22T07:04:33Z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ACD8C759662282EEADFA6569E51E6111</vt:lpwstr>
  </property>
  <property fmtid="{D5CDD505-2E9C-101B-9397-08002B2CF9AE}" pid="4" name="KSOTemplateDocerSaveRecord">
    <vt:lpwstr>eyJoZGlkIjoiYmFiYzI2MWM0NWFiMWQ2ODljYjk4YzY5MTQxZGNlN2IiLCJ1c2VySWQiOiI0MjIyMzUzNjYifQ==</vt:lpwstr>
  </property>
</Properties>
</file>