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林业局2025年</w:t>
      </w:r>
      <w:r>
        <w:rPr>
          <w:rFonts w:hint="eastAsia" w:ascii="CESI小标宋-GB2312" w:hAnsi="CESI小标宋-GB2312" w:eastAsia="CESI小标宋-GB2312" w:cs="CESI小标宋-GB2312"/>
          <w:sz w:val="44"/>
          <w:szCs w:val="44"/>
        </w:rPr>
        <w:t>政府信息公开工作年度报告</w:t>
      </w:r>
    </w:p>
    <w:p>
      <w:pPr>
        <w:bidi w:val="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，请与冠县林业局联系（地址：山东省聊城市冠县建设路861号世纪大厦；邮编：252500；电话：0635-7125988；邮箱:gxlyjzhengwuwang@lc.shandong.cn）。</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方正黑体简体" w:hAnsi="方正黑体简体" w:eastAsia="方正黑体简体" w:cs="方正黑体简体"/>
          <w:b w:val="0"/>
          <w:bCs w:val="0"/>
          <w:i w:val="0"/>
          <w:iCs w:val="0"/>
          <w:caps w:val="0"/>
          <w:color w:val="000000"/>
          <w:spacing w:val="0"/>
          <w:sz w:val="32"/>
          <w:szCs w:val="32"/>
          <w:lang w:val="en-US" w:eastAsia="zh-CN"/>
        </w:rPr>
      </w:pPr>
      <w:r>
        <w:rPr>
          <w:rFonts w:hint="eastAsia" w:ascii="方正黑体简体" w:hAnsi="方正黑体简体" w:eastAsia="方正黑体简体" w:cs="方正黑体简体"/>
          <w:b w:val="0"/>
          <w:bCs w:val="0"/>
          <w:sz w:val="32"/>
          <w:szCs w:val="32"/>
          <w:lang w:eastAsia="zh-CN"/>
        </w:rPr>
        <w:t>一、</w:t>
      </w:r>
      <w:r>
        <w:rPr>
          <w:rFonts w:hint="eastAsia" w:ascii="方正黑体简体" w:hAnsi="方正黑体简体" w:eastAsia="方正黑体简体" w:cs="方正黑体简体"/>
          <w:b w:val="0"/>
          <w:bCs w:val="0"/>
          <w:sz w:val="32"/>
          <w:szCs w:val="32"/>
        </w:rPr>
        <w:t>总体情况</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主动公开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69条，主要包括部门动态、财政预决算、行政执法公示、通知公告等方面信息。</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依申请公开</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2025年，共受理政府信息公开申请0件，申请数量较去年回落100%。</w:t>
      </w:r>
      <w:r>
        <w:rPr>
          <w:rFonts w:hint="eastAsia" w:ascii="仿宋_GB2312" w:hAnsi="仿宋_GB2312" w:eastAsia="仿宋_GB2312" w:cs="仿宋_GB2312"/>
          <w:sz w:val="32"/>
          <w:szCs w:val="32"/>
          <w:lang w:eastAsia="zh-CN"/>
        </w:rPr>
        <w:t>全年未发生因政府信息公开被行政复议、提起行政诉讼情况。</w:t>
      </w:r>
    </w:p>
    <w:p>
      <w:pPr>
        <w:pStyle w:val="2"/>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4826000" cy="2743200"/>
            <wp:effectExtent l="4445" t="4445" r="8255" b="1460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持续完善政府信息管理体系，强化风险防控。严格执行“谁发布、谁负责”及“三审三校”制度，建立“业务</w:t>
      </w:r>
      <w:r>
        <w:rPr>
          <w:rFonts w:hint="eastAsia" w:ascii="仿宋_GB2312" w:hAnsi="仿宋_GB2312" w:eastAsia="仿宋_GB2312" w:cs="仿宋_GB2312"/>
          <w:sz w:val="32"/>
          <w:szCs w:val="32"/>
          <w:lang w:val="en-US" w:eastAsia="zh-CN"/>
        </w:rPr>
        <w:t>科</w:t>
      </w:r>
      <w:r>
        <w:rPr>
          <w:rFonts w:hint="eastAsia" w:ascii="仿宋_GB2312" w:hAnsi="仿宋_GB2312" w:eastAsia="仿宋_GB2312" w:cs="仿宋_GB2312"/>
          <w:sz w:val="32"/>
          <w:szCs w:val="32"/>
        </w:rPr>
        <w:t>室拟稿、办公室核稿、分管领导复核、主要领导终审”的四级审核机制。定期开展信息梳理清理工作，建立健全信息管理台账，确保公开信息准确无误、可查可溯。</w:t>
      </w:r>
    </w:p>
    <w:p>
      <w:pPr>
        <w:keepNext w:val="0"/>
        <w:keepLines w:val="0"/>
        <w:pageBreakBefore w:val="0"/>
        <w:numPr>
          <w:ilvl w:val="0"/>
          <w:numId w:val="2"/>
        </w:numPr>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政府信息公开平台建设</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依托</w:t>
      </w:r>
      <w:r>
        <w:rPr>
          <w:rFonts w:hint="eastAsia" w:ascii="仿宋_GB2312" w:hAnsi="仿宋_GB2312" w:eastAsia="仿宋_GB2312" w:cs="仿宋_GB2312"/>
          <w:sz w:val="32"/>
          <w:szCs w:val="32"/>
          <w:lang w:val="en-US" w:eastAsia="zh-CN"/>
        </w:rPr>
        <w:t>冠县</w:t>
      </w:r>
      <w:r>
        <w:rPr>
          <w:rFonts w:hint="eastAsia" w:ascii="仿宋_GB2312" w:hAnsi="仿宋_GB2312" w:eastAsia="仿宋_GB2312" w:cs="仿宋_GB2312"/>
          <w:sz w:val="32"/>
          <w:szCs w:val="32"/>
        </w:rPr>
        <w:t>人民政府网站作为林业政务公开主阵地，规范做好信息发布、栏目维护等工作。定期开展平台信息合规性核查，对照上级要求整改问题，确保平台规范有序运行。</w:t>
      </w:r>
    </w:p>
    <w:p>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监督保障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sz w:val="32"/>
          <w:szCs w:val="32"/>
          <w:lang w:eastAsia="zh-CN"/>
        </w:rPr>
      </w:pPr>
      <w:r>
        <w:rPr>
          <w:rFonts w:hint="eastAsia" w:ascii="仿宋_GB2312" w:hAnsi="仿宋_GB2312" w:eastAsia="仿宋_GB2312" w:cs="仿宋_GB2312"/>
          <w:sz w:val="32"/>
          <w:szCs w:val="32"/>
        </w:rPr>
        <w:t>建立健全政务公开工作推进机制，将其与林业日常业务工作同部署、同推进、同考核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明确办公室统筹协调、各业务</w:t>
      </w:r>
      <w:r>
        <w:rPr>
          <w:rFonts w:hint="eastAsia" w:ascii="仿宋_GB2312" w:hAnsi="仿宋_GB2312" w:eastAsia="仿宋_GB2312" w:cs="仿宋_GB2312"/>
          <w:sz w:val="32"/>
          <w:szCs w:val="32"/>
          <w:lang w:val="en-US" w:eastAsia="zh-CN"/>
        </w:rPr>
        <w:t>科</w:t>
      </w:r>
      <w:r>
        <w:rPr>
          <w:rFonts w:hint="eastAsia" w:ascii="仿宋_GB2312" w:hAnsi="仿宋_GB2312" w:eastAsia="仿宋_GB2312" w:cs="仿宋_GB2312"/>
          <w:sz w:val="32"/>
          <w:szCs w:val="32"/>
        </w:rPr>
        <w:t>室专人对接的责任体系，确保责任层层传导、落实到位。主动接受上级部门监督指导和社会公众评议，畅通意见反馈渠道，针对工作短板及时整改提升，持续优化政务公开工作质量。</w:t>
      </w:r>
    </w:p>
    <w:p>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sz w:val="32"/>
          <w:szCs w:val="32"/>
          <w:lang w:eastAsia="zh-CN"/>
        </w:rPr>
      </w:pPr>
      <w:r>
        <w:rPr>
          <w:rFonts w:hint="eastAsia" w:ascii="CESI黑体-GB2312" w:hAnsi="CESI黑体-GB2312" w:eastAsia="CESI黑体-GB2312" w:cs="CESI黑体-GB2312"/>
          <w:b w:val="0"/>
          <w:bCs w:val="0"/>
          <w:sz w:val="32"/>
          <w:szCs w:val="32"/>
          <w:lang w:val="en-US" w:eastAsia="zh-CN"/>
        </w:rPr>
        <w:t>二、</w:t>
      </w:r>
      <w:r>
        <w:rPr>
          <w:rFonts w:hint="eastAsia" w:ascii="CESI黑体-GB2312" w:hAnsi="CESI黑体-GB2312" w:eastAsia="CESI黑体-GB2312" w:cs="CESI黑体-GB2312"/>
          <w:b w:val="0"/>
          <w:bCs w:val="0"/>
          <w:sz w:val="32"/>
          <w:szCs w:val="32"/>
          <w:lang w:eastAsia="zh-CN"/>
        </w:rPr>
        <w:t>主动公开政府信息情况</w:t>
      </w:r>
    </w:p>
    <w:tbl>
      <w:tblPr>
        <w:tblStyle w:val="5"/>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3</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pPr>
        <w:numPr>
          <w:ilvl w:val="0"/>
          <w:numId w:val="0"/>
        </w:numPr>
        <w:rPr>
          <w:rFonts w:hint="eastAsia" w:ascii="仿宋_GB2312" w:hAnsi="仿宋_GB2312" w:eastAsia="仿宋_GB2312" w:cs="仿宋_GB2312"/>
          <w:sz w:val="30"/>
          <w:szCs w:val="30"/>
        </w:rPr>
      </w:pPr>
    </w:p>
    <w:p>
      <w:pPr>
        <w:ind w:firstLine="640" w:firstLineChars="200"/>
        <w:jc w:val="left"/>
        <w:rPr>
          <w:rFonts w:hint="eastAsia" w:ascii="仿宋_GB2312" w:hAnsi="仿宋_GB2312" w:eastAsia="仿宋_GB2312" w:cs="仿宋_GB2312"/>
          <w:sz w:val="32"/>
          <w:szCs w:val="32"/>
          <w:lang w:eastAsia="zh-CN"/>
        </w:rPr>
      </w:pPr>
    </w:p>
    <w:p>
      <w:pPr>
        <w:numPr>
          <w:ilvl w:val="0"/>
          <w:numId w:val="0"/>
        </w:numPr>
        <w:jc w:val="left"/>
        <w:rPr>
          <w:rFonts w:hint="eastAsia"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val="en-US" w:eastAsia="zh-CN"/>
        </w:rPr>
        <w:t>三、</w:t>
      </w:r>
      <w:r>
        <w:rPr>
          <w:rFonts w:hint="eastAsia" w:ascii="CESI黑体-GB2312" w:hAnsi="CESI黑体-GB2312" w:eastAsia="CESI黑体-GB2312" w:cs="CESI黑体-GB2312"/>
          <w:sz w:val="32"/>
          <w:szCs w:val="32"/>
          <w:lang w:eastAsia="zh-CN"/>
        </w:rPr>
        <w:t>收到和处理政府信息公开申请情况</w:t>
      </w:r>
    </w:p>
    <w:p>
      <w:pPr>
        <w:pStyle w:val="2"/>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lang w:eastAsia="zh-CN"/>
        </w:rPr>
      </w:pP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pPr>
        <w:rPr>
          <w:rFonts w:hint="eastAsia"/>
          <w:lang w:eastAsia="zh-CN"/>
        </w:rPr>
      </w:pPr>
    </w:p>
    <w:p>
      <w:pPr>
        <w:numPr>
          <w:ilvl w:val="0"/>
          <w:numId w:val="0"/>
        </w:numPr>
        <w:ind w:firstLine="640" w:firstLineChars="200"/>
        <w:jc w:val="left"/>
        <w:rPr>
          <w:rFonts w:hint="eastAsia"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lang w:val="en-US" w:eastAsia="zh-CN"/>
        </w:rPr>
        <w:t>四、</w:t>
      </w:r>
      <w:r>
        <w:rPr>
          <w:rFonts w:hint="eastAsia" w:ascii="CESI黑体-GB2312" w:hAnsi="CESI黑体-GB2312" w:eastAsia="CESI黑体-GB2312" w:cs="CESI黑体-GB2312"/>
          <w:sz w:val="32"/>
          <w:szCs w:val="32"/>
          <w:lang w:eastAsia="zh-CN"/>
        </w:rPr>
        <w:t>政府信息公开行政复议、行政诉讼情况</w:t>
      </w:r>
    </w:p>
    <w:p>
      <w:pPr>
        <w:pStyle w:val="2"/>
        <w:widowControl w:val="0"/>
        <w:numPr>
          <w:ilvl w:val="0"/>
          <w:numId w:val="0"/>
        </w:numPr>
        <w:pBdr>
          <w:top w:val="none" w:color="auto" w:sz="0" w:space="1"/>
          <w:left w:val="none" w:color="auto" w:sz="0" w:space="4"/>
          <w:bottom w:val="none" w:color="auto" w:sz="0" w:space="1"/>
          <w:right w:val="none" w:color="auto" w:sz="0" w:space="4"/>
        </w:pBdr>
        <w:snapToGrid w:val="0"/>
        <w:spacing w:line="240" w:lineRule="auto"/>
        <w:jc w:val="both"/>
        <w:outlineLvl w:val="9"/>
        <w:rPr>
          <w:rFonts w:hint="eastAsia"/>
          <w:lang w:eastAsia="zh-CN"/>
        </w:rPr>
      </w:pP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pStyle w:val="3"/>
        <w:pageBreakBefore w:val="0"/>
        <w:widowControl w:val="0"/>
        <w:numPr>
          <w:ilvl w:val="0"/>
          <w:numId w:val="0"/>
        </w:numPr>
        <w:kinsoku/>
        <w:wordWrap/>
        <w:overflowPunct/>
        <w:topLinePunct w:val="0"/>
        <w:autoSpaceDE/>
        <w:autoSpaceDN/>
        <w:bidi w:val="0"/>
        <w:adjustRightInd/>
        <w:spacing w:before="0" w:after="0" w:line="600" w:lineRule="exact"/>
        <w:ind w:firstLine="640" w:firstLineChars="200"/>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lang w:eastAsia="zh-CN"/>
        </w:rPr>
        <w:t>五、</w:t>
      </w:r>
      <w:r>
        <w:rPr>
          <w:rFonts w:hint="eastAsia" w:ascii="CESI黑体-GB2312" w:hAnsi="CESI黑体-GB2312" w:eastAsia="CESI黑体-GB2312" w:cs="CESI黑体-GB2312"/>
          <w:b w:val="0"/>
          <w:bCs w:val="0"/>
          <w:sz w:val="32"/>
          <w:szCs w:val="32"/>
        </w:rPr>
        <w:t>存在的主要问题及改进情况</w:t>
      </w:r>
    </w:p>
    <w:p>
      <w:pPr>
        <w:pStyle w:val="2"/>
        <w:pageBreakBefore w:val="0"/>
        <w:widowControl w:val="0"/>
        <w:kinsoku/>
        <w:wordWrap/>
        <w:overflowPunct/>
        <w:topLinePunct w:val="0"/>
        <w:autoSpaceDE/>
        <w:autoSpaceDN/>
        <w:bidi w:val="0"/>
        <w:adjustRightInd/>
        <w:spacing w:line="600" w:lineRule="exact"/>
        <w:ind w:firstLine="642" w:firstLineChars="200"/>
        <w:textAlignment w:val="auto"/>
        <w:outlineLvl w:val="9"/>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（一）存在的主要问题</w:t>
      </w:r>
    </w:p>
    <w:p>
      <w:pPr>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部分栏目信息更新不及时，影响公开时效。</w:t>
      </w:r>
    </w:p>
    <w:p>
      <w:pPr>
        <w:pStyle w:val="2"/>
        <w:pageBreakBefore w:val="0"/>
        <w:widowControl w:val="0"/>
        <w:numPr>
          <w:ilvl w:val="0"/>
          <w:numId w:val="0"/>
        </w:numPr>
        <w:kinsoku/>
        <w:wordWrap/>
        <w:overflowPunct/>
        <w:topLinePunct w:val="0"/>
        <w:autoSpaceDE/>
        <w:autoSpaceDN/>
        <w:bidi w:val="0"/>
        <w:adjustRightInd/>
        <w:spacing w:line="600" w:lineRule="exact"/>
        <w:ind w:firstLine="642"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（二）改进情况</w:t>
      </w:r>
    </w:p>
    <w:p>
      <w:pPr>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强化栏目内容维护，确保信息及时更新。</w:t>
      </w:r>
      <w:r>
        <w:rPr>
          <w:rFonts w:hint="eastAsia" w:ascii="仿宋_GB2312" w:hAnsi="仿宋_GB2312" w:eastAsia="仿宋_GB2312" w:cs="仿宋_GB2312"/>
          <w:sz w:val="32"/>
          <w:szCs w:val="32"/>
        </w:rPr>
        <w:t>办公室统筹协调、各业务</w:t>
      </w:r>
      <w:r>
        <w:rPr>
          <w:rFonts w:hint="eastAsia" w:ascii="仿宋_GB2312" w:hAnsi="仿宋_GB2312" w:eastAsia="仿宋_GB2312" w:cs="仿宋_GB2312"/>
          <w:sz w:val="32"/>
          <w:szCs w:val="32"/>
          <w:lang w:val="en-US" w:eastAsia="zh-CN"/>
        </w:rPr>
        <w:t>科</w:t>
      </w:r>
      <w:r>
        <w:rPr>
          <w:rFonts w:hint="eastAsia" w:ascii="仿宋_GB2312" w:hAnsi="仿宋_GB2312" w:eastAsia="仿宋_GB2312" w:cs="仿宋_GB2312"/>
          <w:sz w:val="32"/>
          <w:szCs w:val="32"/>
        </w:rPr>
        <w:t>室专人对接，确保责任层层传导、落实到位</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定期开展信息梳理清理工作</w:t>
      </w:r>
      <w:r>
        <w:rPr>
          <w:rFonts w:hint="eastAsia" w:ascii="仿宋_GB2312" w:hAnsi="仿宋_GB2312" w:eastAsia="仿宋_GB2312" w:cs="仿宋_GB2312"/>
          <w:sz w:val="32"/>
          <w:szCs w:val="32"/>
          <w:lang w:eastAsia="zh-CN"/>
        </w:rPr>
        <w:t>。</w:t>
      </w:r>
    </w:p>
    <w:p>
      <w:pPr>
        <w:pStyle w:val="3"/>
        <w:pageBreakBefore w:val="0"/>
        <w:widowControl w:val="0"/>
        <w:numPr>
          <w:ilvl w:val="0"/>
          <w:numId w:val="0"/>
        </w:numPr>
        <w:shd w:val="clear"/>
        <w:kinsoku/>
        <w:overflowPunct/>
        <w:topLinePunct w:val="0"/>
        <w:autoSpaceDE/>
        <w:autoSpaceDN/>
        <w:bidi w:val="0"/>
        <w:adjustRightInd/>
        <w:snapToGrid/>
        <w:spacing w:before="0" w:after="0" w:line="600" w:lineRule="exact"/>
        <w:ind w:leftChars="0" w:firstLine="640" w:firstLineChars="200"/>
        <w:textAlignment w:val="auto"/>
        <w:rPr>
          <w:rFonts w:hint="eastAsia" w:ascii="CESI黑体-GB2312" w:hAnsi="CESI黑体-GB2312" w:eastAsia="CESI黑体-GB2312" w:cs="CESI黑体-GB2312"/>
          <w:b w:val="0"/>
          <w:bCs w:val="0"/>
          <w:sz w:val="32"/>
          <w:szCs w:val="32"/>
          <w:lang w:eastAsia="zh-CN"/>
        </w:rPr>
      </w:pPr>
      <w:r>
        <w:rPr>
          <w:rFonts w:hint="eastAsia" w:ascii="CESI黑体-GB2312" w:hAnsi="CESI黑体-GB2312" w:eastAsia="CESI黑体-GB2312" w:cs="CESI黑体-GB2312"/>
          <w:b w:val="0"/>
          <w:bCs w:val="0"/>
          <w:sz w:val="32"/>
          <w:szCs w:val="32"/>
          <w:lang w:eastAsia="zh-CN"/>
        </w:rPr>
        <w:t>六、其他需要报告的事项</w:t>
      </w:r>
    </w:p>
    <w:p>
      <w:pPr>
        <w:pageBreakBefore w:val="0"/>
        <w:widowControl w:val="0"/>
        <w:shd w:val="clear"/>
        <w:kinsoku/>
        <w:overflowPunct/>
        <w:topLinePunct w:val="0"/>
        <w:autoSpaceDE/>
        <w:autoSpaceDN/>
        <w:bidi w:val="0"/>
        <w:adjustRightInd/>
        <w:snapToGrid/>
        <w:spacing w:line="600" w:lineRule="exact"/>
        <w:ind w:leftChars="0"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（一）政府信息公开信息处理费收取情况</w:t>
      </w:r>
    </w:p>
    <w:p>
      <w:pPr>
        <w:pageBreakBefore w:val="0"/>
        <w:widowControl w:val="0"/>
        <w:shd w:val="clear"/>
        <w:kinsoku/>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认真落实</w:t>
      </w:r>
      <w:r>
        <w:rPr>
          <w:rFonts w:hint="eastAsia" w:ascii="仿宋_GB2312" w:hAnsi="仿宋_GB2312" w:eastAsia="仿宋_GB2312" w:cs="仿宋_GB2312"/>
          <w:sz w:val="32"/>
          <w:szCs w:val="32"/>
        </w:rPr>
        <w:t>《国务院办公厅关于印发&lt;政府信息公开信息处理费管理办法&gt;的通知》（国办函〔2020〕109号）和《山东省人民政府办公厅关于做好政府信息公开信</w:t>
      </w:r>
      <w:r>
        <w:rPr>
          <w:rFonts w:hint="eastAsia" w:ascii="仿宋_GB2312" w:hAnsi="仿宋_GB2312" w:eastAsia="仿宋_GB2312" w:cs="仿宋_GB2312"/>
          <w:sz w:val="32"/>
          <w:szCs w:val="32"/>
          <w:lang w:eastAsia="zh-CN"/>
        </w:rPr>
        <w:t>息处理费管理工作有关事项的通知》（鲁政办字〔2020〕179号）规定，本年度政府信息公开未收取信息处理费。</w:t>
      </w:r>
    </w:p>
    <w:p>
      <w:pPr>
        <w:pageBreakBefore w:val="0"/>
        <w:widowControl w:val="0"/>
        <w:shd w:val="clear"/>
        <w:kinsoku/>
        <w:overflowPunct/>
        <w:topLinePunct w:val="0"/>
        <w:autoSpaceDE/>
        <w:autoSpaceDN/>
        <w:bidi w:val="0"/>
        <w:adjustRightInd/>
        <w:snapToGrid/>
        <w:spacing w:line="600" w:lineRule="exact"/>
        <w:ind w:leftChars="0"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）落实年度政务公开工作要点情况</w:t>
      </w:r>
    </w:p>
    <w:p>
      <w:pPr>
        <w:keepNext w:val="0"/>
        <w:keepLines w:val="0"/>
        <w:pageBreakBefore w:val="0"/>
        <w:widowControl w:val="0"/>
        <w:shd w:val="clear"/>
        <w:kinsoku/>
        <w:wordWrap w:val="0"/>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认真落实《冠县人民政府办公室关于202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年政务公开重点工作任务分工的通知》，根据通知</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lang w:eastAsia="zh-CN"/>
        </w:rPr>
        <w:t>结合我单位工作实际，持续规范政府信息的公开发布，严格执行政府信息公开制度，依法依规做好政府信息公开保密审查，各科室严格按照任务分工，按时保质做好公开工作。</w:t>
      </w:r>
    </w:p>
    <w:p>
      <w:pPr>
        <w:pageBreakBefore w:val="0"/>
        <w:widowControl w:val="0"/>
        <w:shd w:val="clear"/>
        <w:kinsoku/>
        <w:overflowPunct/>
        <w:topLinePunct w:val="0"/>
        <w:autoSpaceDE/>
        <w:autoSpaceDN/>
        <w:bidi w:val="0"/>
        <w:adjustRightInd/>
        <w:snapToGrid/>
        <w:spacing w:line="600" w:lineRule="exact"/>
        <w:ind w:leftChars="0"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（三）人大代表建议和政协提案办理结果公开情况</w:t>
      </w:r>
    </w:p>
    <w:p>
      <w:pPr>
        <w:pageBreakBefore w:val="0"/>
        <w:widowControl w:val="0"/>
        <w:shd w:val="clear"/>
        <w:kinsoku/>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2025年共办理人大代表建议2件、政协提案3件，办复率均为100%。严格按照《山东省人民政府办公厅关于做好人大代表建议和政协提案办理结果公开工作的通知》（鲁政办字〔2016〕63号）要求，除涉及国家秘密、工作秘密的，</w:t>
      </w:r>
      <w:r>
        <w:rPr>
          <w:rFonts w:hint="eastAsia" w:ascii="仿宋_GB2312" w:hAnsi="仿宋_GB2312" w:eastAsia="仿宋_GB2312" w:cs="仿宋_GB2312"/>
          <w:sz w:val="32"/>
          <w:szCs w:val="32"/>
        </w:rPr>
        <w:t>所有建议提案办理复文或摘要以及办理总体情况均在</w:t>
      </w:r>
      <w:r>
        <w:rPr>
          <w:rFonts w:hint="eastAsia" w:ascii="仿宋_GB2312" w:hAnsi="仿宋_GB2312" w:eastAsia="仿宋_GB2312" w:cs="仿宋_GB2312"/>
          <w:sz w:val="32"/>
          <w:szCs w:val="32"/>
          <w:lang w:val="en-US" w:eastAsia="zh-CN"/>
        </w:rPr>
        <w:t>冠县人民政府网站“冠县建议提案办理”专栏进行了集中公开。</w:t>
      </w:r>
    </w:p>
    <w:p>
      <w:pPr>
        <w:pageBreakBefore w:val="0"/>
        <w:widowControl w:val="0"/>
        <w:numPr>
          <w:ilvl w:val="0"/>
          <w:numId w:val="0"/>
        </w:numPr>
        <w:shd w:val="clear"/>
        <w:kinsoku/>
        <w:overflowPunct/>
        <w:topLinePunct w:val="0"/>
        <w:autoSpaceDE/>
        <w:autoSpaceDN/>
        <w:bidi w:val="0"/>
        <w:adjustRightInd/>
        <w:snapToGrid/>
        <w:spacing w:line="600" w:lineRule="exact"/>
        <w:ind w:leftChars="0"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）政务公开工作创新情况</w:t>
      </w:r>
    </w:p>
    <w:p>
      <w:pPr>
        <w:pageBreakBefore w:val="0"/>
        <w:widowControl w:val="0"/>
        <w:shd w:val="clear"/>
        <w:kinsoku/>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lang w:eastAsia="zh-CN"/>
        </w:rPr>
        <w:t>通过“体验式”政务公开，将</w:t>
      </w:r>
      <w:r>
        <w:rPr>
          <w:rFonts w:hint="eastAsia" w:ascii="仿宋_GB2312" w:hAnsi="仿宋_GB2312" w:eastAsia="仿宋_GB2312" w:cs="仿宋_GB2312"/>
          <w:sz w:val="32"/>
          <w:szCs w:val="32"/>
          <w:lang w:val="en-US" w:eastAsia="zh-CN"/>
        </w:rPr>
        <w:t>新时代</w:t>
      </w:r>
      <w:r>
        <w:rPr>
          <w:rFonts w:hint="eastAsia" w:ascii="仿宋_GB2312" w:hAnsi="仿宋_GB2312" w:eastAsia="仿宋_GB2312" w:cs="仿宋_GB2312"/>
          <w:sz w:val="32"/>
          <w:szCs w:val="32"/>
          <w:lang w:eastAsia="zh-CN"/>
        </w:rPr>
        <w:t>文明实践</w:t>
      </w:r>
      <w:r>
        <w:rPr>
          <w:rFonts w:hint="eastAsia" w:ascii="仿宋_GB2312" w:hAnsi="仿宋_GB2312" w:eastAsia="仿宋_GB2312" w:cs="仿宋_GB2312"/>
          <w:sz w:val="32"/>
          <w:szCs w:val="32"/>
          <w:lang w:val="en-US" w:eastAsia="zh-CN"/>
        </w:rPr>
        <w:t>志愿服务活动</w:t>
      </w:r>
      <w:r>
        <w:rPr>
          <w:rFonts w:hint="eastAsia" w:ascii="仿宋_GB2312" w:hAnsi="仿宋_GB2312" w:eastAsia="仿宋_GB2312" w:cs="仿宋_GB2312"/>
          <w:sz w:val="32"/>
          <w:szCs w:val="32"/>
          <w:lang w:eastAsia="zh-CN"/>
        </w:rPr>
        <w:t>融入政务公开</w:t>
      </w:r>
      <w:r>
        <w:rPr>
          <w:rFonts w:hint="eastAsia" w:ascii="仿宋_GB2312" w:hAnsi="仿宋_GB2312" w:eastAsia="仿宋_GB2312" w:cs="仿宋_GB2312"/>
          <w:sz w:val="32"/>
          <w:szCs w:val="32"/>
          <w:lang w:val="en-US" w:eastAsia="zh-CN"/>
        </w:rPr>
        <w:t>工作中，</w:t>
      </w:r>
      <w:r>
        <w:rPr>
          <w:rFonts w:hint="eastAsia" w:ascii="仿宋_GB2312" w:hAnsi="仿宋_GB2312" w:eastAsia="仿宋_GB2312" w:cs="仿宋_GB2312"/>
          <w:sz w:val="32"/>
          <w:szCs w:val="32"/>
          <w:lang w:eastAsia="zh-CN"/>
        </w:rPr>
        <w:t>以“志愿服务+”模式推动实践，将政策宣讲、技术培训融入志愿服务。利用“一树一码”、现场课堂等方式，在</w:t>
      </w:r>
      <w:r>
        <w:rPr>
          <w:rFonts w:hint="eastAsia" w:ascii="仿宋_GB2312" w:hAnsi="仿宋_GB2312" w:eastAsia="仿宋_GB2312" w:cs="仿宋_GB2312"/>
          <w:sz w:val="32"/>
          <w:szCs w:val="32"/>
          <w:lang w:val="en-US" w:eastAsia="zh-CN"/>
        </w:rPr>
        <w:t>保护古树名木宣传</w:t>
      </w:r>
      <w:r>
        <w:rPr>
          <w:rFonts w:hint="eastAsia" w:ascii="仿宋_GB2312" w:hAnsi="仿宋_GB2312" w:eastAsia="仿宋_GB2312" w:cs="仿宋_GB2312"/>
          <w:sz w:val="32"/>
          <w:szCs w:val="32"/>
          <w:lang w:eastAsia="zh-CN"/>
        </w:rPr>
        <w:t>活动中公开信息，将政务公开的“透明度”转化为文明实践的“参与度”，推动了</w:t>
      </w:r>
      <w:bookmarkStart w:id="11" w:name="_GoBack"/>
      <w:bookmarkEnd w:id="11"/>
      <w:r>
        <w:rPr>
          <w:rFonts w:hint="eastAsia" w:ascii="仿宋_GB2312" w:hAnsi="仿宋_GB2312" w:eastAsia="仿宋_GB2312" w:cs="仿宋_GB2312"/>
          <w:sz w:val="32"/>
          <w:szCs w:val="32"/>
          <w:lang w:eastAsia="zh-CN"/>
        </w:rPr>
        <w:t>生态理念的普及。</w:t>
      </w:r>
    </w:p>
    <w:p>
      <w:pPr>
        <w:pageBreakBefore w:val="0"/>
        <w:widowControl w:val="0"/>
        <w:shd w:val="clear"/>
        <w:kinsoku/>
        <w:overflowPunct/>
        <w:topLinePunct w:val="0"/>
        <w:autoSpaceDE/>
        <w:autoSpaceDN/>
        <w:bidi w:val="0"/>
        <w:adjustRightInd/>
        <w:snapToGrid/>
        <w:spacing w:line="600" w:lineRule="exact"/>
        <w:ind w:leftChars="0"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（五）政府信息公开年度报告数据统计需要说明的事项</w:t>
      </w:r>
    </w:p>
    <w:p>
      <w:pPr>
        <w:pageBreakBefore w:val="0"/>
        <w:widowControl w:val="0"/>
        <w:shd w:val="clear"/>
        <w:kinsoku/>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本年度报告中所列数据统计期限从</w:t>
      </w:r>
      <w:r>
        <w:rPr>
          <w:rFonts w:hint="eastAsia" w:ascii="仿宋_GB2312" w:hAnsi="仿宋_GB2312" w:eastAsia="仿宋_GB2312" w:cs="仿宋_GB2312"/>
          <w:sz w:val="32"/>
          <w:szCs w:val="32"/>
          <w:lang w:val="en-US" w:eastAsia="zh-CN"/>
        </w:rPr>
        <w:t>2025年1月1日到12月31日止。</w:t>
      </w:r>
    </w:p>
    <w:p>
      <w:pPr>
        <w:pStyle w:val="4"/>
        <w:pageBreakBefore w:val="0"/>
        <w:widowControl w:val="0"/>
        <w:shd w:val="clear" w:color="auto"/>
        <w:kinsoku/>
        <w:overflowPunct/>
        <w:topLinePunct w:val="0"/>
        <w:autoSpaceDE/>
        <w:autoSpaceDN/>
        <w:bidi w:val="0"/>
        <w:adjustRightInd/>
        <w:snapToGrid/>
        <w:spacing w:beforeAutospacing="0" w:afterAutospacing="0" w:line="600" w:lineRule="exact"/>
        <w:ind w:leftChars="0" w:firstLine="640" w:firstLineChars="200"/>
        <w:jc w:val="both"/>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lang w:val="en-US" w:eastAsia="zh-CN"/>
        </w:rPr>
        <w:t>.</w:t>
      </w:r>
      <w:r>
        <w:rPr>
          <w:rFonts w:hint="eastAsia" w:ascii="仿宋_GB2312" w:hAnsi="仿宋_GB2312" w:eastAsia="仿宋_GB2312" w:cs="仿宋_GB2312"/>
          <w:sz w:val="32"/>
          <w:szCs w:val="32"/>
          <w:shd w:val="clear" w:color="auto" w:fill="FFFFFF"/>
        </w:rPr>
        <w:t>行政许可数量、行政处罚和行政强制数量，包括已公开和依法未公开的全部处理决定。</w:t>
      </w:r>
    </w:p>
    <w:p>
      <w:pPr>
        <w:pStyle w:val="4"/>
        <w:pageBreakBefore w:val="0"/>
        <w:widowControl w:val="0"/>
        <w:shd w:val="clear" w:color="auto"/>
        <w:kinsoku/>
        <w:overflowPunct/>
        <w:topLinePunct w:val="0"/>
        <w:autoSpaceDE/>
        <w:autoSpaceDN/>
        <w:bidi w:val="0"/>
        <w:adjustRightInd/>
        <w:snapToGrid/>
        <w:spacing w:beforeAutospacing="0" w:afterAutospacing="0"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lang w:val="en-US" w:eastAsia="zh-CN"/>
        </w:rPr>
        <w:t>.</w:t>
      </w:r>
      <w:r>
        <w:rPr>
          <w:rFonts w:hint="eastAsia" w:ascii="仿宋_GB2312" w:hAnsi="仿宋_GB2312" w:eastAsia="仿宋_GB2312" w:cs="仿宋_GB2312"/>
          <w:sz w:val="32"/>
          <w:szCs w:val="32"/>
          <w:shd w:val="clear" w:color="auto" w:fill="FFFFFF"/>
        </w:rPr>
        <w:t>行政复议机关作为共同被告的行政诉讼案件，只计算原行为主体的案件数量，不计算行政复议机关的案件数量。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8"/>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2000000" w:usb3="00000000" w:csb0="2000019F" w:csb1="00000000"/>
  </w:font>
  <w:font w:name="CESI小标宋-GB2312">
    <w:panose1 w:val="02000500000000000000"/>
    <w:charset w:val="86"/>
    <w:family w:val="auto"/>
    <w:pitch w:val="default"/>
    <w:sig w:usb0="800002AF" w:usb1="084F6CF8"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CESI黑体-GB2312">
    <w:panose1 w:val="02000500000000000000"/>
    <w:charset w:val="86"/>
    <w:family w:val="auto"/>
    <w:pitch w:val="default"/>
    <w:sig w:usb0="800002BF" w:usb1="184F6CF8"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300017"/>
    <w:multiLevelType w:val="singleLevel"/>
    <w:tmpl w:val="54300017"/>
    <w:lvl w:ilvl="0" w:tentative="0">
      <w:start w:val="4"/>
      <w:numFmt w:val="chineseCounting"/>
      <w:suff w:val="nothing"/>
      <w:lvlText w:val="（%1）"/>
      <w:lvlJc w:val="left"/>
      <w:rPr>
        <w:rFonts w:hint="eastAsia"/>
      </w:rPr>
    </w:lvl>
  </w:abstractNum>
  <w:abstractNum w:abstractNumId="1">
    <w:nsid w:val="71479142"/>
    <w:multiLevelType w:val="singleLevel"/>
    <w:tmpl w:val="7147914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B7314"/>
    <w:rsid w:val="05EB22F2"/>
    <w:rsid w:val="06C97C0C"/>
    <w:rsid w:val="0D6B041A"/>
    <w:rsid w:val="17E66DE1"/>
    <w:rsid w:val="22D31F67"/>
    <w:rsid w:val="328707EE"/>
    <w:rsid w:val="40503261"/>
    <w:rsid w:val="569F2D3D"/>
    <w:rsid w:val="57BF08C4"/>
    <w:rsid w:val="595D0375"/>
    <w:rsid w:val="5B1631DC"/>
    <w:rsid w:val="5DE60909"/>
    <w:rsid w:val="5F0059FA"/>
    <w:rsid w:val="5FB011CE"/>
    <w:rsid w:val="640271F3"/>
    <w:rsid w:val="66050B97"/>
    <w:rsid w:val="6B2F268D"/>
    <w:rsid w:val="6BC54253"/>
    <w:rsid w:val="6DB7A256"/>
    <w:rsid w:val="6DBA5EF5"/>
    <w:rsid w:val="72964D8C"/>
    <w:rsid w:val="72E72D01"/>
    <w:rsid w:val="73037C83"/>
    <w:rsid w:val="730C2768"/>
    <w:rsid w:val="7BBB1B44"/>
    <w:rsid w:val="7D31799A"/>
    <w:rsid w:val="7DB5CE73"/>
    <w:rsid w:val="7DCDE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依申请公开</a:t>
            </a:r>
            <a:endParaRPr lang="en-US" altLang="zh-CN"/>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'[新建 XLS 工作表.xls]Sheet1'!$A$37:$A$38</c:f>
              <c:strCache>
                <c:ptCount val="2"/>
                <c:pt idx="0">
                  <c:v>2024年</c:v>
                </c:pt>
                <c:pt idx="1">
                  <c:v>2025年</c:v>
                </c:pt>
              </c:strCache>
            </c:strRef>
          </c:cat>
          <c:val>
            <c:numRef>
              <c:f>'[新建 XLS 工作表.xls]Sheet1'!$B$37:$B$38</c:f>
              <c:numCache>
                <c:formatCode>General</c:formatCode>
                <c:ptCount val="2"/>
                <c:pt idx="0">
                  <c:v>1</c:v>
                </c:pt>
                <c:pt idx="1">
                  <c:v>0</c:v>
                </c:pt>
              </c:numCache>
            </c:numRef>
          </c:val>
        </c:ser>
        <c:dLbls>
          <c:showLegendKey val="false"/>
          <c:showVal val="false"/>
          <c:showCatName val="false"/>
          <c:showSerName val="false"/>
          <c:showPercent val="false"/>
          <c:showBubbleSize val="false"/>
        </c:dLbls>
        <c:gapWidth val="246"/>
        <c:overlap val="-28"/>
        <c:axId val="595524189"/>
        <c:axId val="194756691"/>
      </c:barChart>
      <c:catAx>
        <c:axId val="59552418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94756691"/>
        <c:crosses val="autoZero"/>
        <c:auto val="true"/>
        <c:lblAlgn val="ctr"/>
        <c:lblOffset val="100"/>
        <c:noMultiLvlLbl val="false"/>
      </c:catAx>
      <c:valAx>
        <c:axId val="194756691"/>
        <c:scaling>
          <c:orientation val="minMax"/>
        </c:scaling>
        <c:delete val="false"/>
        <c:axPos val="l"/>
        <c:majorGridlines>
          <c:spPr>
            <a:ln w="9525" cap="flat" cmpd="sng" algn="ctr">
              <a:solidFill>
                <a:schemeClr val="lt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9552418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3016</Words>
  <Characters>3167</Characters>
  <Lines>0</Lines>
  <Paragraphs>0</Paragraphs>
  <TotalTime>15</TotalTime>
  <ScaleCrop>false</ScaleCrop>
  <LinksUpToDate>false</LinksUpToDate>
  <CharactersWithSpaces>3209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2026-01-16T09:13:00Z</dcterms:created>
  <dc:creator>1</dc:creator>
  <cp:lastModifiedBy>user</cp:lastModifiedBy>
  <dcterms:modified xsi:type="dcterms:W3CDTF">2026-01-29T17:00:15Z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eyJoZGlkIjoiZGNkNjFmZjJjZGU5NmVhMjJmZWM1MjZiMTEwMmQzNDkiLCJ1c2VySWQiOiIzNjI4ODg1MDQifQ==</vt:lpwstr>
  </property>
  <property fmtid="{D5CDD505-2E9C-101B-9397-08002B2CF9AE}" pid="4" name="ICV">
    <vt:lpwstr>3BF1F5DC17A8414D907A0776496A48A0_12</vt:lpwstr>
  </property>
</Properties>
</file>