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AB48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冠县</w:t>
      </w:r>
      <w:r>
        <w:rPr>
          <w:rFonts w:hint="eastAsia" w:ascii="方正小标宋简体" w:hAnsi="方正小标宋简体" w:eastAsia="方正小标宋简体" w:cs="方正小标宋简体"/>
          <w:color w:val="auto"/>
          <w:sz w:val="44"/>
          <w:szCs w:val="44"/>
          <w:highlight w:val="none"/>
          <w:lang w:val="en-US" w:eastAsia="zh-CN"/>
        </w:rPr>
        <w:t>店子镇人民政府</w:t>
      </w:r>
      <w:r>
        <w:rPr>
          <w:rFonts w:hint="eastAsia" w:ascii="方正小标宋简体" w:hAnsi="方正小标宋简体" w:eastAsia="方正小标宋简体" w:cs="方正小标宋简体"/>
          <w:color w:val="auto"/>
          <w:sz w:val="44"/>
          <w:szCs w:val="44"/>
          <w:lang w:val="en-US" w:eastAsia="zh-CN"/>
        </w:rPr>
        <w:t>2025年</w:t>
      </w:r>
      <w:r>
        <w:rPr>
          <w:rFonts w:hint="eastAsia" w:ascii="方正小标宋简体" w:hAnsi="方正小标宋简体" w:eastAsia="方正小标宋简体" w:cs="方正小标宋简体"/>
          <w:color w:val="auto"/>
          <w:sz w:val="44"/>
          <w:szCs w:val="44"/>
        </w:rPr>
        <w:t>政府信息</w:t>
      </w:r>
    </w:p>
    <w:p w14:paraId="17798B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公开工作年度报告</w:t>
      </w:r>
    </w:p>
    <w:p w14:paraId="17001D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p>
    <w:p w14:paraId="3EB2B2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highlight w:val="none"/>
          <w:lang w:eastAsia="zh-CN"/>
        </w:rPr>
        <w:t>公众</w:t>
      </w:r>
      <w:r>
        <w:rPr>
          <w:rFonts w:hint="eastAsia" w:ascii="仿宋_GB2312" w:hAnsi="仿宋_GB2312" w:eastAsia="仿宋_GB2312" w:cs="仿宋_GB2312"/>
          <w:color w:val="auto"/>
          <w:sz w:val="32"/>
          <w:szCs w:val="32"/>
          <w:highlight w:val="none"/>
        </w:rPr>
        <w:t>如</w:t>
      </w:r>
      <w:r>
        <w:rPr>
          <w:rFonts w:hint="eastAsia" w:ascii="仿宋_GB2312" w:hAnsi="仿宋_GB2312" w:eastAsia="仿宋_GB2312" w:cs="仿宋_GB2312"/>
          <w:color w:val="auto"/>
          <w:sz w:val="32"/>
          <w:szCs w:val="32"/>
          <w:highlight w:val="none"/>
          <w:lang w:eastAsia="zh-CN"/>
        </w:rPr>
        <w:t>需进一步咨询了解相关信息</w:t>
      </w:r>
      <w:r>
        <w:rPr>
          <w:rFonts w:hint="eastAsia" w:ascii="仿宋_GB2312" w:hAnsi="仿宋_GB2312" w:eastAsia="仿宋_GB2312" w:cs="仿宋_GB2312"/>
          <w:color w:val="auto"/>
          <w:sz w:val="32"/>
          <w:szCs w:val="32"/>
          <w:highlight w:val="none"/>
        </w:rPr>
        <w:t>，请与冠县</w:t>
      </w:r>
      <w:r>
        <w:rPr>
          <w:rFonts w:hint="eastAsia" w:ascii="仿宋_GB2312" w:hAnsi="仿宋_GB2312" w:eastAsia="仿宋_GB2312" w:cs="仿宋_GB2312"/>
          <w:color w:val="auto"/>
          <w:sz w:val="32"/>
          <w:szCs w:val="32"/>
          <w:highlight w:val="none"/>
          <w:lang w:val="en-US" w:eastAsia="zh-CN"/>
        </w:rPr>
        <w:t>店子镇</w:t>
      </w:r>
      <w:r>
        <w:rPr>
          <w:rFonts w:hint="eastAsia" w:ascii="仿宋_GB2312" w:hAnsi="仿宋_GB2312" w:eastAsia="仿宋_GB2312" w:cs="仿宋_GB2312"/>
          <w:color w:val="auto"/>
          <w:sz w:val="32"/>
          <w:szCs w:val="32"/>
          <w:highlight w:val="none"/>
        </w:rPr>
        <w:t>人民政府联系（</w:t>
      </w:r>
      <w:r>
        <w:rPr>
          <w:rFonts w:hint="eastAsia" w:ascii="仿宋_GB2312" w:hAnsi="仿宋_GB2312" w:eastAsia="仿宋_GB2312" w:cs="仿宋_GB2312"/>
          <w:color w:val="auto"/>
          <w:sz w:val="32"/>
          <w:szCs w:val="32"/>
          <w:highlight w:val="none"/>
          <w:lang w:eastAsia="zh-CN"/>
        </w:rPr>
        <w:t>地址：山东省聊城市冠县</w:t>
      </w:r>
      <w:r>
        <w:rPr>
          <w:rFonts w:hint="eastAsia" w:ascii="仿宋_GB2312" w:hAnsi="仿宋_GB2312" w:eastAsia="仿宋_GB2312" w:cs="仿宋_GB2312"/>
          <w:color w:val="auto"/>
          <w:sz w:val="32"/>
          <w:szCs w:val="32"/>
          <w:highlight w:val="none"/>
          <w:lang w:val="en-US" w:eastAsia="zh-CN"/>
        </w:rPr>
        <w:t>店子镇为政路1号；邮编：252522；</w:t>
      </w:r>
      <w:r>
        <w:rPr>
          <w:rFonts w:hint="eastAsia" w:ascii="仿宋_GB2312" w:hAnsi="仿宋_GB2312" w:eastAsia="仿宋_GB2312" w:cs="仿宋_GB2312"/>
          <w:color w:val="auto"/>
          <w:sz w:val="32"/>
          <w:szCs w:val="32"/>
          <w:highlight w:val="none"/>
        </w:rPr>
        <w:t>电话:</w:t>
      </w:r>
      <w:r>
        <w:rPr>
          <w:rFonts w:hint="eastAsia" w:ascii="仿宋_GB2312" w:hAnsi="仿宋_GB2312" w:eastAsia="仿宋_GB2312" w:cs="仿宋_GB2312"/>
          <w:color w:val="auto"/>
          <w:sz w:val="32"/>
          <w:szCs w:val="32"/>
          <w:highlight w:val="none"/>
          <w:lang w:val="en-US" w:eastAsia="zh-CN"/>
        </w:rPr>
        <w:t>0635-5610061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lang w:val="en-US" w:eastAsia="zh-CN"/>
        </w:rPr>
        <w:t>gxddzzi</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163</w:t>
      </w:r>
      <w:r>
        <w:rPr>
          <w:rFonts w:hint="eastAsia" w:ascii="仿宋_GB2312" w:hAnsi="仿宋_GB2312" w:eastAsia="仿宋_GB2312" w:cs="仿宋_GB2312"/>
          <w:color w:val="auto"/>
          <w:sz w:val="32"/>
          <w:szCs w:val="32"/>
          <w:highlight w:val="none"/>
        </w:rPr>
        <w:t>.c</w:t>
      </w:r>
      <w:r>
        <w:rPr>
          <w:rFonts w:hint="eastAsia" w:ascii="仿宋_GB2312" w:hAnsi="仿宋_GB2312" w:eastAsia="仿宋_GB2312" w:cs="仿宋_GB2312"/>
          <w:color w:val="auto"/>
          <w:sz w:val="32"/>
          <w:szCs w:val="32"/>
          <w:highlight w:val="none"/>
          <w:lang w:val="en-US" w:eastAsia="zh-CN"/>
        </w:rPr>
        <w:t>om</w:t>
      </w:r>
      <w:r>
        <w:rPr>
          <w:rFonts w:hint="eastAsia" w:ascii="仿宋_GB2312" w:hAnsi="仿宋_GB2312" w:eastAsia="仿宋_GB2312" w:cs="仿宋_GB2312"/>
          <w:color w:val="auto"/>
          <w:sz w:val="32"/>
          <w:szCs w:val="32"/>
          <w:highlight w:val="none"/>
        </w:rPr>
        <w:t>）。</w:t>
      </w:r>
    </w:p>
    <w:p w14:paraId="15CC5A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总体情况</w:t>
      </w:r>
    </w:p>
    <w:p w14:paraId="5599552F">
      <w:pPr>
        <w:keepNext w:val="0"/>
        <w:keepLines w:val="0"/>
        <w:widowControl/>
        <w:suppressLineNumbers w:val="0"/>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店子镇人民政府紧扣政务公开高质量发展要求，以增强责任意识、提升主动服务能力为牵引，扎实推进政务公开工作向更规范、更精准、更务实的方向深化拓展。我镇严格遵循“公开为常态、不公开为例外”的原则，紧密围绕群众关切和发展需要，致力实现公开内容全面准确、渠道便捷畅通、确保群众关切及时回应、政策解读务实有效。现将2025年度政府信息公开工作总体情况报告如下：</w:t>
      </w:r>
    </w:p>
    <w:p w14:paraId="1720B68F">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14:paraId="422EE1A8">
      <w:pPr>
        <w:keepNext w:val="0"/>
        <w:keepLines w:val="0"/>
        <w:widowControl/>
        <w:suppressLineNumbers w:val="0"/>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2025年，店子镇严格依照时限要求公开相关政府信息，严把信息质量关，推动政府信息公开工作常态化开展。通过冠县人民政府网站主动发布各类政府信息20条，</w:t>
      </w:r>
      <w:r>
        <w:rPr>
          <w:rFonts w:ascii="仿宋_GB2312" w:hAnsi="宋体" w:eastAsia="仿宋_GB2312" w:cs="仿宋_GB2312"/>
          <w:i w:val="0"/>
          <w:iCs w:val="0"/>
          <w:caps w:val="0"/>
          <w:color w:val="000000"/>
          <w:spacing w:val="0"/>
          <w:sz w:val="32"/>
          <w:szCs w:val="32"/>
        </w:rPr>
        <w:t>内容涵盖镇街动态、行政执法、财政预决算等信息。</w:t>
      </w:r>
    </w:p>
    <w:p w14:paraId="41092EE7">
      <w:pPr>
        <w:keepNext w:val="0"/>
        <w:keepLines w:val="0"/>
        <w:widowControl/>
        <w:suppressLineNumbers w:val="0"/>
        <w:jc w:val="left"/>
        <w:rPr>
          <w:rFonts w:hint="eastAsia" w:ascii="仿宋_GB2312" w:hAnsi="仿宋_GB2312" w:eastAsia="仿宋_GB2312" w:cs="仿宋_GB2312"/>
          <w:color w:val="auto"/>
          <w:sz w:val="32"/>
          <w:szCs w:val="32"/>
          <w:highlight w:val="none"/>
          <w:lang w:val="en-US" w:eastAsia="zh-CN"/>
        </w:rPr>
      </w:pPr>
      <w:r>
        <w:drawing>
          <wp:inline distT="0" distB="0" distL="114300" distR="114300">
            <wp:extent cx="5274310" cy="439674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4396740"/>
                    </a:xfrm>
                    <a:prstGeom prst="rect">
                      <a:avLst/>
                    </a:prstGeom>
                    <a:noFill/>
                    <a:ln>
                      <a:noFill/>
                    </a:ln>
                  </pic:spPr>
                </pic:pic>
              </a:graphicData>
            </a:graphic>
          </wp:inline>
        </w:drawing>
      </w:r>
    </w:p>
    <w:p w14:paraId="65213A45">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color w:val="auto"/>
          <w:sz w:val="32"/>
          <w:szCs w:val="32"/>
        </w:rPr>
      </w:pPr>
      <w:r>
        <w:rPr>
          <w:rFonts w:hint="eastAsia" w:ascii="CESI楷体-GB2312" w:hAnsi="CESI楷体-GB2312" w:eastAsia="CESI楷体-GB2312" w:cs="CESI楷体-GB2312"/>
          <w:b/>
          <w:bCs/>
          <w:sz w:val="32"/>
          <w:szCs w:val="32"/>
          <w:lang w:eastAsia="zh-CN"/>
        </w:rPr>
        <w:t>（</w:t>
      </w:r>
      <w:r>
        <w:rPr>
          <w:rFonts w:hint="eastAsia" w:ascii="CESI楷体-GB2312" w:hAnsi="CESI楷体-GB2312" w:eastAsia="CESI楷体-GB2312" w:cs="CESI楷体-GB2312"/>
          <w:b/>
          <w:bCs/>
          <w:color w:val="auto"/>
          <w:sz w:val="32"/>
          <w:szCs w:val="32"/>
          <w:lang w:eastAsia="zh-CN"/>
        </w:rPr>
        <w:t>二）</w:t>
      </w:r>
      <w:r>
        <w:rPr>
          <w:rFonts w:hint="eastAsia" w:ascii="CESI楷体-GB2312" w:hAnsi="CESI楷体-GB2312" w:eastAsia="CESI楷体-GB2312" w:cs="CESI楷体-GB2312"/>
          <w:b/>
          <w:bCs/>
          <w:color w:val="auto"/>
          <w:sz w:val="32"/>
          <w:szCs w:val="32"/>
        </w:rPr>
        <w:t>依申请公开</w:t>
      </w:r>
    </w:p>
    <w:p w14:paraId="7F0A8837">
      <w:pPr>
        <w:ind w:firstLine="640" w:firstLineChars="200"/>
        <w:rPr>
          <w:rFonts w:hint="eastAsia" w:ascii="仿宋_GB2312" w:eastAsia="仿宋_GB2312" w:cs="汉仪中等线简"/>
          <w:color w:val="auto"/>
          <w:sz w:val="32"/>
          <w:szCs w:val="32"/>
          <w:lang w:eastAsia="zh-CN"/>
        </w:rPr>
      </w:pPr>
      <w:r>
        <w:rPr>
          <w:rFonts w:hint="eastAsia" w:ascii="仿宋_GB2312" w:eastAsia="仿宋_GB2312"/>
          <w:color w:val="auto"/>
          <w:sz w:val="32"/>
          <w:szCs w:val="32"/>
          <w:lang w:val="en-US" w:eastAsia="zh-CN"/>
        </w:rPr>
        <w:t>2025年，共受理政府信息公开申请0件</w:t>
      </w:r>
      <w:r>
        <w:rPr>
          <w:rFonts w:hint="default" w:ascii="仿宋_GB2312" w:eastAsia="仿宋_GB2312"/>
          <w:color w:val="auto"/>
          <w:sz w:val="32"/>
          <w:szCs w:val="32"/>
          <w:lang w:val="en-US" w:eastAsia="zh-CN"/>
        </w:rPr>
        <w:t>。</w:t>
      </w:r>
      <w:r>
        <w:rPr>
          <w:rFonts w:hint="eastAsia" w:ascii="仿宋_GB2312" w:eastAsia="仿宋_GB2312" w:cs="汉仪中等线简"/>
          <w:color w:val="auto"/>
          <w:sz w:val="32"/>
          <w:szCs w:val="32"/>
          <w:highlight w:val="none"/>
          <w:lang w:eastAsia="zh-CN"/>
        </w:rPr>
        <w:t>全年未发生因政府信息公开被行政复议、提起行政诉讼情况。</w:t>
      </w:r>
    </w:p>
    <w:p w14:paraId="2A49402F">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color w:val="0000FF"/>
          <w:sz w:val="32"/>
          <w:szCs w:val="32"/>
          <w:lang w:eastAsia="zh-CN"/>
        </w:rPr>
      </w:pPr>
      <w:r>
        <w:rPr>
          <w:rFonts w:hint="eastAsia" w:ascii="CESI楷体-GB2312" w:hAnsi="CESI楷体-GB2312" w:eastAsia="CESI楷体-GB2312" w:cs="CESI楷体-GB2312"/>
          <w:b/>
          <w:bCs/>
          <w:color w:val="auto"/>
          <w:sz w:val="32"/>
          <w:szCs w:val="32"/>
          <w:lang w:eastAsia="zh-CN"/>
        </w:rPr>
        <w:t>（三）</w:t>
      </w:r>
      <w:r>
        <w:rPr>
          <w:rFonts w:hint="eastAsia" w:ascii="CESI楷体-GB2312" w:hAnsi="CESI楷体-GB2312" w:eastAsia="CESI楷体-GB2312" w:cs="CESI楷体-GB2312"/>
          <w:b/>
          <w:bCs/>
          <w:color w:val="auto"/>
          <w:sz w:val="32"/>
          <w:szCs w:val="32"/>
        </w:rPr>
        <w:t>政府信息管理</w:t>
      </w:r>
    </w:p>
    <w:p w14:paraId="251F6E85">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坚持政府信息管理基础制度，规范信息管理。定期对公开事项进行梳理规范，做好动态调整工作。严格落实保密审查相关要求，严把信息发布关口。全力保障群众便捷获取相关政府信息，稳步推进信息管理基础工作落地见效。</w:t>
      </w:r>
    </w:p>
    <w:p w14:paraId="77C3F5D3">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（四）</w:t>
      </w:r>
      <w:r>
        <w:rPr>
          <w:rFonts w:hint="eastAsia" w:ascii="CESI楷体-GB2312" w:hAnsi="CESI楷体-GB2312" w:eastAsia="CESI楷体-GB2312" w:cs="CESI楷体-GB2312"/>
          <w:b/>
          <w:bCs/>
          <w:sz w:val="32"/>
          <w:szCs w:val="32"/>
        </w:rPr>
        <w:t>政府信息公开平台建设</w:t>
      </w:r>
    </w:p>
    <w:p w14:paraId="454F458C">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strike w:val="0"/>
          <w:dstrike w:val="0"/>
          <w:sz w:val="32"/>
          <w:szCs w:val="32"/>
          <w:highlight w:val="none"/>
          <w:lang w:val="en-US" w:eastAsia="zh-CN"/>
        </w:rPr>
      </w:pPr>
      <w:r>
        <w:rPr>
          <w:rFonts w:hint="eastAsia" w:ascii="仿宋_GB2312" w:eastAsia="仿宋_GB2312"/>
          <w:color w:val="auto"/>
          <w:sz w:val="32"/>
          <w:szCs w:val="32"/>
          <w:lang w:val="en-US" w:eastAsia="zh-CN"/>
        </w:rPr>
        <w:t>以冠县人民政府网站为载体平台，保障机构职能、财政预决算报告、村庄规划方案等关键信息发布质效。持续深化政务公开体验区的建设管理工作，确保群众及时知晓政策解读、工作推进动态等各类信息。</w:t>
      </w:r>
    </w:p>
    <w:p w14:paraId="5B93FBC1">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（五）</w:t>
      </w:r>
      <w:r>
        <w:rPr>
          <w:rFonts w:hint="eastAsia" w:ascii="CESI楷体-GB2312" w:hAnsi="CESI楷体-GB2312" w:eastAsia="CESI楷体-GB2312" w:cs="CESI楷体-GB2312"/>
          <w:b/>
          <w:bCs/>
          <w:sz w:val="32"/>
          <w:szCs w:val="32"/>
        </w:rPr>
        <w:t>监督保障</w:t>
      </w:r>
    </w:p>
    <w:p w14:paraId="57DAD5E5">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明确2名专职人员统筹负责政务公开工作，累计组织4次政务公开专项培训，切实提升全镇政务公开队伍综合业务素养。主动畅通社会监督渠道，通过“政府开放日”活动，广泛倾听、吸纳群众意见建议，持续提高群众满意度。</w:t>
      </w:r>
    </w:p>
    <w:p w14:paraId="0660B37B">
      <w:pPr>
        <w:pStyle w:val="2"/>
        <w:numPr>
          <w:ilvl w:val="0"/>
          <w:numId w:val="0"/>
        </w:numPr>
        <w:spacing w:before="0" w:after="0" w:line="240" w:lineRule="auto"/>
        <w:ind w:firstLine="640" w:firstLineChars="200"/>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28F0CBAE">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B18853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2C787C2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4037F8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6B6632A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7E77EF4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0A9EB63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7AFAE696">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1FB287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4EBEB5EB">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1EA4F23">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96A42F2">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666A9DB4">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0AE156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57344396">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B6AE0D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5FD94B0">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2B5FFC32">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D66092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2EB63040">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2BAAE2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2980D0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23CB878">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5941F1C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44F2EB57">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2F31BF89">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A93966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011A003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309DA9B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82BC95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9F24C3E">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F2B6BC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6C0C978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6ECA2DFB">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1B9245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7DF5E009">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9F92474">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F1E400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1357F00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F9BBDF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4DE7695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71639E2">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6BEB46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03A0FD9B">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791E1866">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5D94F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4D17D2E9">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1168C3C">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6AA73EA5">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64E0B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780866FB">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0A81D539">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39192A23">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310FC1FD">
            <w:pPr>
              <w:widowControl/>
              <w:jc w:val="center"/>
              <w:rPr>
                <w:rFonts w:ascii="黑体" w:hAnsi="黑体" w:eastAsia="黑体"/>
                <w:szCs w:val="21"/>
              </w:rPr>
            </w:pPr>
            <w:r>
              <w:rPr>
                <w:rFonts w:hint="eastAsia" w:ascii="黑体" w:hAnsi="黑体" w:eastAsia="黑体"/>
                <w:kern w:val="0"/>
                <w:szCs w:val="21"/>
              </w:rPr>
              <w:t>总计</w:t>
            </w:r>
          </w:p>
        </w:tc>
      </w:tr>
      <w:tr w14:paraId="06178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05A1714D">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20E9F7D1">
            <w:pPr>
              <w:jc w:val="center"/>
              <w:rPr>
                <w:rFonts w:ascii="黑体" w:hAnsi="黑体" w:eastAsia="黑体"/>
                <w:szCs w:val="21"/>
              </w:rPr>
            </w:pPr>
          </w:p>
        </w:tc>
        <w:tc>
          <w:tcPr>
            <w:tcW w:w="567" w:type="dxa"/>
            <w:noWrap w:val="0"/>
            <w:tcMar>
              <w:left w:w="108" w:type="dxa"/>
              <w:right w:w="108" w:type="dxa"/>
            </w:tcMar>
            <w:vAlign w:val="center"/>
          </w:tcPr>
          <w:p w14:paraId="0F126E9C">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25A29CD8">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1CE0B382">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06C6C31B">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59CB5F1C">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3FA0BE08">
            <w:pPr>
              <w:jc w:val="center"/>
              <w:rPr>
                <w:rFonts w:ascii="仿宋_GB2312" w:hAnsi="Times New Roman" w:eastAsia="仿宋_GB2312"/>
                <w:szCs w:val="21"/>
              </w:rPr>
            </w:pPr>
          </w:p>
        </w:tc>
      </w:tr>
      <w:tr w14:paraId="660FA8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4357F57B">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6C61550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E40C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7137F9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25A76A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80D370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20114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2178D1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2053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FB2FEEC">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1AF649E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8545E1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4169F4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55E635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406CD8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C6337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CBD501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1FDA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574DB714">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567CB4FC">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6EE0EC5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F6B5AA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928C8F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806957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07B4F7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611A85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9B6F9B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120C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416" w:type="dxa"/>
            <w:vMerge w:val="continue"/>
            <w:noWrap w:val="0"/>
            <w:tcMar>
              <w:left w:w="108" w:type="dxa"/>
              <w:right w:w="108" w:type="dxa"/>
            </w:tcMar>
            <w:vAlign w:val="center"/>
          </w:tcPr>
          <w:p w14:paraId="5300FA14">
            <w:pPr>
              <w:rPr>
                <w:rFonts w:ascii="黑体" w:hAnsi="黑体" w:eastAsia="黑体"/>
                <w:szCs w:val="21"/>
              </w:rPr>
            </w:pPr>
          </w:p>
        </w:tc>
        <w:tc>
          <w:tcPr>
            <w:tcW w:w="4677" w:type="dxa"/>
            <w:gridSpan w:val="2"/>
            <w:noWrap w:val="0"/>
            <w:tcMar>
              <w:left w:w="108" w:type="dxa"/>
              <w:right w:w="108" w:type="dxa"/>
            </w:tcMar>
            <w:vAlign w:val="center"/>
          </w:tcPr>
          <w:p w14:paraId="54D21AD8">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6DF0567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06D072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C1BD0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CB6087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B5CB2E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F8C97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E1DC4E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04D7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A0A0FDD">
            <w:pPr>
              <w:rPr>
                <w:rFonts w:ascii="黑体" w:hAnsi="黑体" w:eastAsia="黑体"/>
                <w:szCs w:val="21"/>
              </w:rPr>
            </w:pPr>
          </w:p>
        </w:tc>
        <w:tc>
          <w:tcPr>
            <w:tcW w:w="1701" w:type="dxa"/>
            <w:vMerge w:val="restart"/>
            <w:noWrap w:val="0"/>
            <w:tcMar>
              <w:left w:w="108" w:type="dxa"/>
              <w:right w:w="108" w:type="dxa"/>
            </w:tcMar>
            <w:vAlign w:val="center"/>
          </w:tcPr>
          <w:p w14:paraId="43352791">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0D508220">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573A68A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D0F39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4C19AC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41F998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C40773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B7FC55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AE66B5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7633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DBFEE5C">
            <w:pPr>
              <w:rPr>
                <w:rFonts w:ascii="黑体" w:hAnsi="黑体" w:eastAsia="黑体"/>
                <w:szCs w:val="21"/>
              </w:rPr>
            </w:pPr>
          </w:p>
        </w:tc>
        <w:tc>
          <w:tcPr>
            <w:tcW w:w="1701" w:type="dxa"/>
            <w:vMerge w:val="continue"/>
            <w:noWrap w:val="0"/>
            <w:tcMar>
              <w:left w:w="108" w:type="dxa"/>
              <w:right w:w="108" w:type="dxa"/>
            </w:tcMar>
            <w:vAlign w:val="center"/>
          </w:tcPr>
          <w:p w14:paraId="045B2095">
            <w:pPr>
              <w:spacing w:line="200" w:lineRule="exact"/>
              <w:rPr>
                <w:rFonts w:ascii="黑体" w:hAnsi="黑体" w:eastAsia="黑体"/>
                <w:szCs w:val="21"/>
              </w:rPr>
            </w:pPr>
          </w:p>
        </w:tc>
        <w:tc>
          <w:tcPr>
            <w:tcW w:w="2976" w:type="dxa"/>
            <w:noWrap w:val="0"/>
            <w:tcMar>
              <w:left w:w="108" w:type="dxa"/>
              <w:right w:w="108" w:type="dxa"/>
            </w:tcMar>
            <w:vAlign w:val="center"/>
          </w:tcPr>
          <w:p w14:paraId="3A3AD849">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5A1D86E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6701A6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BDDAF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498832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6FDF79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313AB6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DECF0F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7310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0B889F9">
            <w:pPr>
              <w:rPr>
                <w:rFonts w:ascii="黑体" w:hAnsi="黑体" w:eastAsia="黑体"/>
                <w:szCs w:val="21"/>
              </w:rPr>
            </w:pPr>
          </w:p>
        </w:tc>
        <w:tc>
          <w:tcPr>
            <w:tcW w:w="1701" w:type="dxa"/>
            <w:vMerge w:val="continue"/>
            <w:noWrap w:val="0"/>
            <w:tcMar>
              <w:left w:w="108" w:type="dxa"/>
              <w:right w:w="108" w:type="dxa"/>
            </w:tcMar>
            <w:vAlign w:val="center"/>
          </w:tcPr>
          <w:p w14:paraId="36E8FE81">
            <w:pPr>
              <w:spacing w:line="200" w:lineRule="exact"/>
              <w:rPr>
                <w:rFonts w:ascii="黑体" w:hAnsi="黑体" w:eastAsia="黑体"/>
                <w:szCs w:val="21"/>
              </w:rPr>
            </w:pPr>
          </w:p>
        </w:tc>
        <w:tc>
          <w:tcPr>
            <w:tcW w:w="2976" w:type="dxa"/>
            <w:noWrap w:val="0"/>
            <w:tcMar>
              <w:left w:w="108" w:type="dxa"/>
              <w:right w:w="108" w:type="dxa"/>
            </w:tcMar>
            <w:vAlign w:val="center"/>
          </w:tcPr>
          <w:p w14:paraId="74179A7C">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266E26D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370A15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517BE7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F9046D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CE7736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B7473D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11770E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BC984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388E560">
            <w:pPr>
              <w:rPr>
                <w:rFonts w:ascii="黑体" w:hAnsi="黑体" w:eastAsia="黑体"/>
                <w:szCs w:val="21"/>
              </w:rPr>
            </w:pPr>
          </w:p>
        </w:tc>
        <w:tc>
          <w:tcPr>
            <w:tcW w:w="1701" w:type="dxa"/>
            <w:vMerge w:val="continue"/>
            <w:noWrap w:val="0"/>
            <w:tcMar>
              <w:left w:w="108" w:type="dxa"/>
              <w:right w:w="108" w:type="dxa"/>
            </w:tcMar>
            <w:vAlign w:val="center"/>
          </w:tcPr>
          <w:p w14:paraId="0F77F604">
            <w:pPr>
              <w:spacing w:line="200" w:lineRule="exact"/>
              <w:rPr>
                <w:rFonts w:ascii="黑体" w:hAnsi="黑体" w:eastAsia="黑体"/>
                <w:szCs w:val="21"/>
              </w:rPr>
            </w:pPr>
          </w:p>
        </w:tc>
        <w:tc>
          <w:tcPr>
            <w:tcW w:w="2976" w:type="dxa"/>
            <w:noWrap w:val="0"/>
            <w:tcMar>
              <w:left w:w="108" w:type="dxa"/>
              <w:right w:w="108" w:type="dxa"/>
            </w:tcMar>
            <w:vAlign w:val="center"/>
          </w:tcPr>
          <w:p w14:paraId="53A30F6C">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63B07C1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653DB2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C9F395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E33BC1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EAAF6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46CD6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CA77F0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3B97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D2F6BD">
            <w:pPr>
              <w:rPr>
                <w:rFonts w:ascii="黑体" w:hAnsi="黑体" w:eastAsia="黑体"/>
                <w:szCs w:val="21"/>
              </w:rPr>
            </w:pPr>
          </w:p>
        </w:tc>
        <w:tc>
          <w:tcPr>
            <w:tcW w:w="1701" w:type="dxa"/>
            <w:vMerge w:val="continue"/>
            <w:noWrap w:val="0"/>
            <w:tcMar>
              <w:left w:w="108" w:type="dxa"/>
              <w:right w:w="108" w:type="dxa"/>
            </w:tcMar>
            <w:vAlign w:val="center"/>
          </w:tcPr>
          <w:p w14:paraId="3DDF462E">
            <w:pPr>
              <w:spacing w:line="200" w:lineRule="exact"/>
              <w:rPr>
                <w:rFonts w:ascii="黑体" w:hAnsi="黑体" w:eastAsia="黑体"/>
                <w:szCs w:val="21"/>
              </w:rPr>
            </w:pPr>
          </w:p>
        </w:tc>
        <w:tc>
          <w:tcPr>
            <w:tcW w:w="2976" w:type="dxa"/>
            <w:noWrap w:val="0"/>
            <w:tcMar>
              <w:left w:w="108" w:type="dxa"/>
              <w:right w:w="108" w:type="dxa"/>
            </w:tcMar>
            <w:vAlign w:val="center"/>
          </w:tcPr>
          <w:p w14:paraId="1BEDD2A8">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637F7C9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3FFF46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57EFA1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5FF10B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911926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57EC34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D82FFE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1517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0CF13B9">
            <w:pPr>
              <w:rPr>
                <w:rFonts w:ascii="黑体" w:hAnsi="黑体" w:eastAsia="黑体"/>
                <w:szCs w:val="21"/>
              </w:rPr>
            </w:pPr>
          </w:p>
        </w:tc>
        <w:tc>
          <w:tcPr>
            <w:tcW w:w="1701" w:type="dxa"/>
            <w:vMerge w:val="continue"/>
            <w:noWrap w:val="0"/>
            <w:tcMar>
              <w:left w:w="108" w:type="dxa"/>
              <w:right w:w="108" w:type="dxa"/>
            </w:tcMar>
            <w:vAlign w:val="center"/>
          </w:tcPr>
          <w:p w14:paraId="145D3447">
            <w:pPr>
              <w:spacing w:line="200" w:lineRule="exact"/>
              <w:rPr>
                <w:rFonts w:ascii="黑体" w:hAnsi="黑体" w:eastAsia="黑体"/>
                <w:szCs w:val="21"/>
              </w:rPr>
            </w:pPr>
          </w:p>
        </w:tc>
        <w:tc>
          <w:tcPr>
            <w:tcW w:w="2976" w:type="dxa"/>
            <w:noWrap w:val="0"/>
            <w:tcMar>
              <w:left w:w="108" w:type="dxa"/>
              <w:right w:w="108" w:type="dxa"/>
            </w:tcMar>
            <w:vAlign w:val="center"/>
          </w:tcPr>
          <w:p w14:paraId="03DBCD0C">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2490900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DDDDE8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F83FE2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E5FC14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6DB293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8D60E0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A1C746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415A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F1E3D3C">
            <w:pPr>
              <w:rPr>
                <w:rFonts w:ascii="黑体" w:hAnsi="黑体" w:eastAsia="黑体"/>
                <w:szCs w:val="21"/>
              </w:rPr>
            </w:pPr>
          </w:p>
        </w:tc>
        <w:tc>
          <w:tcPr>
            <w:tcW w:w="1701" w:type="dxa"/>
            <w:vMerge w:val="continue"/>
            <w:noWrap w:val="0"/>
            <w:tcMar>
              <w:left w:w="108" w:type="dxa"/>
              <w:right w:w="108" w:type="dxa"/>
            </w:tcMar>
            <w:vAlign w:val="center"/>
          </w:tcPr>
          <w:p w14:paraId="047D57EB">
            <w:pPr>
              <w:spacing w:line="200" w:lineRule="exact"/>
              <w:rPr>
                <w:rFonts w:ascii="黑体" w:hAnsi="黑体" w:eastAsia="黑体"/>
                <w:szCs w:val="21"/>
              </w:rPr>
            </w:pPr>
          </w:p>
        </w:tc>
        <w:tc>
          <w:tcPr>
            <w:tcW w:w="2976" w:type="dxa"/>
            <w:noWrap w:val="0"/>
            <w:tcMar>
              <w:left w:w="108" w:type="dxa"/>
              <w:right w:w="108" w:type="dxa"/>
            </w:tcMar>
            <w:vAlign w:val="center"/>
          </w:tcPr>
          <w:p w14:paraId="79BAEFB1">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5D6578A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A3858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C9A91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748E64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4C0ABB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02F8E7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06850C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82DC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43E099E">
            <w:pPr>
              <w:rPr>
                <w:rFonts w:ascii="黑体" w:hAnsi="黑体" w:eastAsia="黑体"/>
                <w:szCs w:val="21"/>
              </w:rPr>
            </w:pPr>
          </w:p>
        </w:tc>
        <w:tc>
          <w:tcPr>
            <w:tcW w:w="1701" w:type="dxa"/>
            <w:vMerge w:val="continue"/>
            <w:noWrap w:val="0"/>
            <w:tcMar>
              <w:left w:w="108" w:type="dxa"/>
              <w:right w:w="108" w:type="dxa"/>
            </w:tcMar>
            <w:vAlign w:val="center"/>
          </w:tcPr>
          <w:p w14:paraId="534E6526">
            <w:pPr>
              <w:spacing w:line="200" w:lineRule="exact"/>
              <w:rPr>
                <w:rFonts w:ascii="黑体" w:hAnsi="黑体" w:eastAsia="黑体"/>
                <w:szCs w:val="21"/>
              </w:rPr>
            </w:pPr>
          </w:p>
        </w:tc>
        <w:tc>
          <w:tcPr>
            <w:tcW w:w="2976" w:type="dxa"/>
            <w:noWrap w:val="0"/>
            <w:tcMar>
              <w:left w:w="108" w:type="dxa"/>
              <w:right w:w="108" w:type="dxa"/>
            </w:tcMar>
            <w:vAlign w:val="center"/>
          </w:tcPr>
          <w:p w14:paraId="3A382D29">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04A31FF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D2F8AEF">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2C8B2F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3DAADC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A2DE46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4E7D1F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40A6C7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4AFA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2B66904">
            <w:pPr>
              <w:rPr>
                <w:rFonts w:ascii="黑体" w:hAnsi="黑体" w:eastAsia="黑体"/>
                <w:szCs w:val="21"/>
              </w:rPr>
            </w:pPr>
          </w:p>
        </w:tc>
        <w:tc>
          <w:tcPr>
            <w:tcW w:w="1701" w:type="dxa"/>
            <w:vMerge w:val="restart"/>
            <w:noWrap w:val="0"/>
            <w:tcMar>
              <w:left w:w="108" w:type="dxa"/>
              <w:right w:w="108" w:type="dxa"/>
            </w:tcMar>
            <w:vAlign w:val="center"/>
          </w:tcPr>
          <w:p w14:paraId="053929B5">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2A145942">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4941915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088343">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C3E11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5DADA0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B419AC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D7A3D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D32B53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C2B6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5FC1951">
            <w:pPr>
              <w:rPr>
                <w:rFonts w:ascii="黑体" w:hAnsi="黑体" w:eastAsia="黑体"/>
                <w:szCs w:val="21"/>
              </w:rPr>
            </w:pPr>
          </w:p>
        </w:tc>
        <w:tc>
          <w:tcPr>
            <w:tcW w:w="1701" w:type="dxa"/>
            <w:vMerge w:val="continue"/>
            <w:noWrap w:val="0"/>
            <w:tcMar>
              <w:left w:w="108" w:type="dxa"/>
              <w:right w:w="108" w:type="dxa"/>
            </w:tcMar>
            <w:vAlign w:val="center"/>
          </w:tcPr>
          <w:p w14:paraId="1D9A7809">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7BDAF613">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59D928B9">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86C390">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CEC6DB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578773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505B57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BEE129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FAADF8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CF3A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40B05B0">
            <w:pPr>
              <w:rPr>
                <w:rFonts w:ascii="黑体" w:hAnsi="黑体" w:eastAsia="黑体"/>
                <w:szCs w:val="21"/>
              </w:rPr>
            </w:pPr>
          </w:p>
        </w:tc>
        <w:tc>
          <w:tcPr>
            <w:tcW w:w="1701" w:type="dxa"/>
            <w:vMerge w:val="continue"/>
            <w:noWrap w:val="0"/>
            <w:tcMar>
              <w:left w:w="108" w:type="dxa"/>
              <w:right w:w="108" w:type="dxa"/>
            </w:tcMar>
            <w:vAlign w:val="center"/>
          </w:tcPr>
          <w:p w14:paraId="78751A66">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168A75F0">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149CB188">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32D84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FB1E26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194BAE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60BF83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ECF759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F025B9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F1E8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790A323">
            <w:pPr>
              <w:rPr>
                <w:rFonts w:ascii="黑体" w:hAnsi="黑体" w:eastAsia="黑体"/>
                <w:szCs w:val="21"/>
              </w:rPr>
            </w:pPr>
          </w:p>
        </w:tc>
        <w:tc>
          <w:tcPr>
            <w:tcW w:w="1701" w:type="dxa"/>
            <w:vMerge w:val="restart"/>
            <w:noWrap w:val="0"/>
            <w:tcMar>
              <w:left w:w="108" w:type="dxa"/>
              <w:right w:w="108" w:type="dxa"/>
            </w:tcMar>
            <w:vAlign w:val="center"/>
          </w:tcPr>
          <w:p w14:paraId="1CBB344E">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225333C4">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34DA410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C588B7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868984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6F0D5D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3F789F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F52F8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A3E4E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626F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054D0A">
            <w:pPr>
              <w:rPr>
                <w:rFonts w:ascii="黑体" w:hAnsi="黑体" w:eastAsia="黑体"/>
                <w:szCs w:val="21"/>
              </w:rPr>
            </w:pPr>
          </w:p>
        </w:tc>
        <w:tc>
          <w:tcPr>
            <w:tcW w:w="1701" w:type="dxa"/>
            <w:vMerge w:val="continue"/>
            <w:noWrap w:val="0"/>
            <w:tcMar>
              <w:left w:w="108" w:type="dxa"/>
              <w:right w:w="108" w:type="dxa"/>
            </w:tcMar>
            <w:vAlign w:val="center"/>
          </w:tcPr>
          <w:p w14:paraId="2DD96CFC">
            <w:pPr>
              <w:spacing w:line="200" w:lineRule="exact"/>
              <w:rPr>
                <w:rFonts w:ascii="黑体" w:hAnsi="黑体" w:eastAsia="黑体"/>
                <w:szCs w:val="21"/>
              </w:rPr>
            </w:pPr>
          </w:p>
        </w:tc>
        <w:tc>
          <w:tcPr>
            <w:tcW w:w="2976" w:type="dxa"/>
            <w:noWrap w:val="0"/>
            <w:tcMar>
              <w:left w:w="108" w:type="dxa"/>
              <w:right w:w="108" w:type="dxa"/>
            </w:tcMar>
            <w:vAlign w:val="center"/>
          </w:tcPr>
          <w:p w14:paraId="334E74C1">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6F5F7B1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D2549F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6E2485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0B4508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227E0E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599435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28E1CA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EB2E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6F30EEE">
            <w:pPr>
              <w:rPr>
                <w:rFonts w:ascii="黑体" w:hAnsi="黑体" w:eastAsia="黑体"/>
                <w:szCs w:val="21"/>
              </w:rPr>
            </w:pPr>
          </w:p>
        </w:tc>
        <w:tc>
          <w:tcPr>
            <w:tcW w:w="1701" w:type="dxa"/>
            <w:vMerge w:val="continue"/>
            <w:noWrap w:val="0"/>
            <w:tcMar>
              <w:left w:w="108" w:type="dxa"/>
              <w:right w:w="108" w:type="dxa"/>
            </w:tcMar>
            <w:vAlign w:val="center"/>
          </w:tcPr>
          <w:p w14:paraId="21A0EBEB">
            <w:pPr>
              <w:spacing w:line="200" w:lineRule="exact"/>
              <w:rPr>
                <w:rFonts w:ascii="黑体" w:hAnsi="黑体" w:eastAsia="黑体"/>
                <w:szCs w:val="21"/>
              </w:rPr>
            </w:pPr>
          </w:p>
        </w:tc>
        <w:tc>
          <w:tcPr>
            <w:tcW w:w="2976" w:type="dxa"/>
            <w:noWrap w:val="0"/>
            <w:tcMar>
              <w:left w:w="108" w:type="dxa"/>
              <w:right w:w="108" w:type="dxa"/>
            </w:tcMar>
            <w:vAlign w:val="center"/>
          </w:tcPr>
          <w:p w14:paraId="7EFE2EB8">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699BD8AB">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FFE36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692F65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DFA719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BBE01C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CB37C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33EBE8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CEBB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50AFEEF4">
            <w:pPr>
              <w:rPr>
                <w:rFonts w:ascii="黑体" w:hAnsi="黑体" w:eastAsia="黑体"/>
                <w:szCs w:val="21"/>
              </w:rPr>
            </w:pPr>
          </w:p>
        </w:tc>
        <w:tc>
          <w:tcPr>
            <w:tcW w:w="1701" w:type="dxa"/>
            <w:vMerge w:val="continue"/>
            <w:noWrap w:val="0"/>
            <w:tcMar>
              <w:left w:w="108" w:type="dxa"/>
              <w:right w:w="108" w:type="dxa"/>
            </w:tcMar>
            <w:vAlign w:val="center"/>
          </w:tcPr>
          <w:p w14:paraId="2A907159">
            <w:pPr>
              <w:spacing w:line="200" w:lineRule="exact"/>
              <w:rPr>
                <w:rFonts w:ascii="黑体" w:hAnsi="黑体" w:eastAsia="黑体"/>
                <w:szCs w:val="21"/>
              </w:rPr>
            </w:pPr>
          </w:p>
        </w:tc>
        <w:tc>
          <w:tcPr>
            <w:tcW w:w="2976" w:type="dxa"/>
            <w:noWrap w:val="0"/>
            <w:tcMar>
              <w:left w:w="108" w:type="dxa"/>
              <w:right w:w="108" w:type="dxa"/>
            </w:tcMar>
            <w:vAlign w:val="center"/>
          </w:tcPr>
          <w:p w14:paraId="74FED3FB">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2109F23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EDC66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6C650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A8903F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E91330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7AA111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C66556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4383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B82A9AB">
            <w:pPr>
              <w:rPr>
                <w:rFonts w:ascii="黑体" w:hAnsi="黑体" w:eastAsia="黑体"/>
                <w:szCs w:val="21"/>
              </w:rPr>
            </w:pPr>
          </w:p>
        </w:tc>
        <w:tc>
          <w:tcPr>
            <w:tcW w:w="1701" w:type="dxa"/>
            <w:vMerge w:val="continue"/>
            <w:noWrap w:val="0"/>
            <w:tcMar>
              <w:left w:w="108" w:type="dxa"/>
              <w:right w:w="108" w:type="dxa"/>
            </w:tcMar>
            <w:vAlign w:val="center"/>
          </w:tcPr>
          <w:p w14:paraId="53750153">
            <w:pPr>
              <w:spacing w:line="200" w:lineRule="exact"/>
              <w:rPr>
                <w:rFonts w:ascii="黑体" w:hAnsi="黑体" w:eastAsia="黑体"/>
                <w:szCs w:val="21"/>
              </w:rPr>
            </w:pPr>
          </w:p>
        </w:tc>
        <w:tc>
          <w:tcPr>
            <w:tcW w:w="2976" w:type="dxa"/>
            <w:noWrap w:val="0"/>
            <w:tcMar>
              <w:left w:w="108" w:type="dxa"/>
              <w:right w:w="108" w:type="dxa"/>
            </w:tcMar>
            <w:vAlign w:val="center"/>
          </w:tcPr>
          <w:p w14:paraId="1008EC52">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29D18F4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7DDD799">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44567F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181299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FB5331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EDDC1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3E4C41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A303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DA92464">
            <w:pPr>
              <w:rPr>
                <w:rFonts w:ascii="黑体" w:hAnsi="黑体" w:eastAsia="黑体"/>
                <w:szCs w:val="21"/>
              </w:rPr>
            </w:pPr>
          </w:p>
        </w:tc>
        <w:tc>
          <w:tcPr>
            <w:tcW w:w="1701" w:type="dxa"/>
            <w:vMerge w:val="restart"/>
            <w:noWrap w:val="0"/>
            <w:tcMar>
              <w:left w:w="108" w:type="dxa"/>
              <w:right w:w="108" w:type="dxa"/>
            </w:tcMar>
            <w:vAlign w:val="center"/>
          </w:tcPr>
          <w:p w14:paraId="4F99DAFD">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17424588">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319C807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11034B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9926ED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236EA2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AD033E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2FCEF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22BE87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10E0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1DA43A2">
            <w:pPr>
              <w:rPr>
                <w:rFonts w:ascii="黑体" w:hAnsi="黑体" w:eastAsia="黑体"/>
                <w:szCs w:val="21"/>
              </w:rPr>
            </w:pPr>
          </w:p>
        </w:tc>
        <w:tc>
          <w:tcPr>
            <w:tcW w:w="1701" w:type="dxa"/>
            <w:vMerge w:val="continue"/>
            <w:noWrap w:val="0"/>
            <w:tcMar>
              <w:left w:w="108" w:type="dxa"/>
              <w:right w:w="108" w:type="dxa"/>
            </w:tcMar>
            <w:vAlign w:val="center"/>
          </w:tcPr>
          <w:p w14:paraId="262E47FA">
            <w:pPr>
              <w:widowControl/>
              <w:spacing w:line="300" w:lineRule="exact"/>
              <w:rPr>
                <w:rFonts w:ascii="黑体" w:hAnsi="黑体" w:eastAsia="黑体"/>
                <w:kern w:val="0"/>
                <w:szCs w:val="21"/>
              </w:rPr>
            </w:pPr>
          </w:p>
        </w:tc>
        <w:tc>
          <w:tcPr>
            <w:tcW w:w="2976" w:type="dxa"/>
            <w:noWrap w:val="0"/>
            <w:vAlign w:val="center"/>
          </w:tcPr>
          <w:p w14:paraId="542485C2">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1675AF4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C7364D4">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8C6095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67610D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D4EFA5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BBB866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89AE91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600D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AFE3B12">
            <w:pPr>
              <w:rPr>
                <w:rFonts w:ascii="黑体" w:hAnsi="黑体" w:eastAsia="黑体"/>
                <w:szCs w:val="21"/>
              </w:rPr>
            </w:pPr>
          </w:p>
        </w:tc>
        <w:tc>
          <w:tcPr>
            <w:tcW w:w="1701" w:type="dxa"/>
            <w:vMerge w:val="continue"/>
            <w:noWrap w:val="0"/>
            <w:tcMar>
              <w:left w:w="108" w:type="dxa"/>
              <w:right w:w="108" w:type="dxa"/>
            </w:tcMar>
            <w:vAlign w:val="center"/>
          </w:tcPr>
          <w:p w14:paraId="7F5E7A25">
            <w:pPr>
              <w:widowControl/>
              <w:spacing w:line="300" w:lineRule="exact"/>
              <w:rPr>
                <w:rFonts w:ascii="黑体" w:hAnsi="黑体" w:eastAsia="黑体"/>
                <w:kern w:val="0"/>
                <w:szCs w:val="21"/>
              </w:rPr>
            </w:pPr>
          </w:p>
        </w:tc>
        <w:tc>
          <w:tcPr>
            <w:tcW w:w="2976" w:type="dxa"/>
            <w:noWrap w:val="0"/>
            <w:vAlign w:val="center"/>
          </w:tcPr>
          <w:p w14:paraId="1D9B1CF9">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2A480F87">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BD5C0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AA7756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9B7758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C5159D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93FE14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DF0334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84501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1BDB5C6">
            <w:pPr>
              <w:rPr>
                <w:rFonts w:ascii="黑体" w:hAnsi="黑体" w:eastAsia="黑体"/>
                <w:szCs w:val="21"/>
              </w:rPr>
            </w:pPr>
          </w:p>
        </w:tc>
        <w:tc>
          <w:tcPr>
            <w:tcW w:w="4677" w:type="dxa"/>
            <w:gridSpan w:val="2"/>
            <w:noWrap w:val="0"/>
            <w:tcMar>
              <w:left w:w="108" w:type="dxa"/>
              <w:right w:w="108" w:type="dxa"/>
            </w:tcMar>
            <w:vAlign w:val="center"/>
          </w:tcPr>
          <w:p w14:paraId="3E0BD34C">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2BC32F3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742CA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465ACA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6566E1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B04774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B3A4A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278F21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C2461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73982C3F">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233A689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17EC78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F844D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2FCA57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5A25A0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8705C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7E3A7A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14:paraId="0219CFF9">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27647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A59C95">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11952FD7">
            <w:pPr>
              <w:widowControl/>
              <w:jc w:val="center"/>
              <w:rPr>
                <w:rFonts w:ascii="黑体" w:hAnsi="黑体" w:eastAsia="黑体"/>
              </w:rPr>
            </w:pPr>
            <w:r>
              <w:rPr>
                <w:rFonts w:ascii="黑体" w:hAnsi="黑体" w:eastAsia="黑体"/>
                <w:kern w:val="0"/>
                <w:sz w:val="20"/>
                <w:szCs w:val="20"/>
              </w:rPr>
              <w:t>行政诉讼</w:t>
            </w:r>
          </w:p>
        </w:tc>
      </w:tr>
      <w:tr w14:paraId="5ED017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9213D39">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7D192ACB">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64282096">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A19F9FF">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95A63C0">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7B88DC93">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E343808">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46EC4950">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34637D19">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9335693">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687C06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63BB8DC">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7EF4D4F">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64E2441">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4F7484D">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0CBC60E">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25BCF6B">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8D54A41">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B90584F">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50FA2D3F">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03B4937">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56439EB4">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00C0053">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6797C0D">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9F72B31">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2A7E4B56">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B45A6E3">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21427C42">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BC605F1">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AB4223">
            <w:pPr>
              <w:widowControl/>
              <w:jc w:val="center"/>
              <w:rPr>
                <w:rFonts w:ascii="黑体" w:hAnsi="黑体" w:eastAsia="黑体"/>
              </w:rPr>
            </w:pPr>
            <w:r>
              <w:rPr>
                <w:rFonts w:ascii="黑体" w:hAnsi="黑体" w:eastAsia="黑体"/>
                <w:kern w:val="0"/>
                <w:sz w:val="20"/>
                <w:szCs w:val="20"/>
              </w:rPr>
              <w:t>总计</w:t>
            </w:r>
          </w:p>
        </w:tc>
      </w:tr>
      <w:tr w14:paraId="49B556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600B16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5C1761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DBC2E5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FA413B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6BEBF8E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896CD8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1FFAF1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E63014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138BFB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1F1FD3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A16E6A0">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DEAEBE8">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525D44D">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19361CC">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C4A81E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5C9545AA">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color w:val="auto"/>
        </w:rPr>
      </w:pPr>
      <w:r>
        <w:rPr>
          <w:rFonts w:hint="eastAsia" w:ascii="CESI黑体-GB2312" w:hAnsi="CESI黑体-GB2312" w:eastAsia="CESI黑体-GB2312" w:cs="CESI黑体-GB2312"/>
          <w:b w:val="0"/>
          <w:bCs w:val="0"/>
          <w:color w:val="auto"/>
          <w:lang w:eastAsia="zh-CN"/>
        </w:rPr>
        <w:t>五、</w:t>
      </w:r>
      <w:r>
        <w:rPr>
          <w:rFonts w:hint="eastAsia" w:ascii="CESI黑体-GB2312" w:hAnsi="CESI黑体-GB2312" w:eastAsia="CESI黑体-GB2312" w:cs="CESI黑体-GB2312"/>
          <w:b w:val="0"/>
          <w:bCs w:val="0"/>
          <w:color w:val="auto"/>
        </w:rPr>
        <w:t>存在的主要问题及改进情况</w:t>
      </w:r>
    </w:p>
    <w:p w14:paraId="72A9F791">
      <w:pPr>
        <w:pStyle w:val="4"/>
        <w:ind w:firstLine="643" w:firstLineChars="200"/>
        <w:rPr>
          <w:rFonts w:hint="eastAsia" w:ascii="CESI楷体-GB2312" w:hAnsi="CESI楷体-GB2312" w:eastAsia="CESI楷体-GB2312" w:cs="CESI楷体-GB2312"/>
          <w:b/>
          <w:bCs/>
          <w:color w:val="auto"/>
          <w:kern w:val="2"/>
          <w:sz w:val="32"/>
          <w:szCs w:val="32"/>
          <w:lang w:val="en-US" w:eastAsia="zh-CN" w:bidi="ar-SA"/>
        </w:rPr>
      </w:pPr>
      <w:r>
        <w:rPr>
          <w:rFonts w:hint="eastAsia" w:ascii="CESI楷体-GB2312" w:hAnsi="CESI楷体-GB2312" w:eastAsia="CESI楷体-GB2312" w:cs="CESI楷体-GB2312"/>
          <w:b/>
          <w:bCs/>
          <w:color w:val="auto"/>
          <w:kern w:val="2"/>
          <w:sz w:val="32"/>
          <w:szCs w:val="32"/>
          <w:lang w:val="en-US" w:eastAsia="zh-CN" w:bidi="ar-SA"/>
        </w:rPr>
        <w:t>（一）存在的主要问题</w:t>
      </w:r>
    </w:p>
    <w:p w14:paraId="3612EEA3">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公开信息内容与群众实际需求的契合度有待提高，针对性、实用性有待增强。</w:t>
      </w:r>
    </w:p>
    <w:p w14:paraId="5A1BB9E9">
      <w:pPr>
        <w:pStyle w:val="4"/>
        <w:ind w:firstLine="643" w:firstLineChars="200"/>
        <w:rPr>
          <w:rFonts w:ascii="仿宋_GB2312" w:eastAsia="仿宋_GB2312"/>
          <w:b/>
          <w:bCs/>
          <w:color w:val="auto"/>
          <w:sz w:val="32"/>
          <w:szCs w:val="32"/>
          <w:u w:val="none"/>
        </w:rPr>
      </w:pPr>
      <w:r>
        <w:rPr>
          <w:rFonts w:hint="eastAsia" w:ascii="CESI楷体-GB2312" w:hAnsi="CESI楷体-GB2312" w:eastAsia="CESI楷体-GB2312" w:cs="CESI楷体-GB2312"/>
          <w:b/>
          <w:bCs/>
          <w:color w:val="auto"/>
          <w:kern w:val="2"/>
          <w:sz w:val="32"/>
          <w:szCs w:val="32"/>
          <w:lang w:val="en-US" w:eastAsia="zh-CN" w:bidi="ar-SA"/>
        </w:rPr>
        <w:t>（二）改进情况</w:t>
      </w:r>
    </w:p>
    <w:p w14:paraId="6F6CD236">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微软雅黑" w:hAnsi="微软雅黑" w:eastAsia="微软雅黑" w:cs="微软雅黑"/>
          <w:i w:val="0"/>
          <w:iCs w:val="0"/>
          <w:caps w:val="0"/>
          <w:color w:val="000000"/>
          <w:spacing w:val="0"/>
        </w:rPr>
      </w:pPr>
      <w:r>
        <w:rPr>
          <w:rFonts w:hint="eastAsia" w:ascii="仿宋_GB2312" w:eastAsia="仿宋_GB2312"/>
          <w:color w:val="auto"/>
          <w:sz w:val="32"/>
          <w:szCs w:val="32"/>
          <w:lang w:val="en-US" w:eastAsia="zh-CN"/>
        </w:rPr>
        <w:t>着力拓展多元化公开形式，并强化内容发布的实用性导向，以期更好满足公众需求，提升政府工作透明度与公信力。</w:t>
      </w:r>
    </w:p>
    <w:p w14:paraId="3493047D">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color w:val="auto"/>
        </w:rPr>
      </w:pPr>
      <w:r>
        <w:rPr>
          <w:rFonts w:hint="eastAsia" w:ascii="CESI黑体-GB2312" w:hAnsi="CESI黑体-GB2312" w:eastAsia="CESI黑体-GB2312" w:cs="CESI黑体-GB2312"/>
          <w:b w:val="0"/>
          <w:bCs w:val="0"/>
          <w:color w:val="auto"/>
          <w:lang w:eastAsia="zh-CN"/>
        </w:rPr>
        <w:t>六、</w:t>
      </w:r>
      <w:r>
        <w:rPr>
          <w:rFonts w:hint="eastAsia" w:ascii="CESI黑体-GB2312" w:hAnsi="CESI黑体-GB2312" w:eastAsia="CESI黑体-GB2312" w:cs="CESI黑体-GB2312"/>
          <w:b w:val="0"/>
          <w:bCs w:val="0"/>
          <w:color w:val="auto"/>
        </w:rPr>
        <w:t>其他需要报告的事项</w:t>
      </w:r>
    </w:p>
    <w:p w14:paraId="243194CE">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181F1CE1">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6A4EB32D">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14:paraId="033C6AF2">
      <w:pPr>
        <w:ind w:firstLine="640" w:firstLineChars="200"/>
        <w:rPr>
          <w:rFonts w:hint="eastAsia" w:ascii="仿宋_GB2312" w:hAnsi="文星仿宋" w:eastAsia="仿宋_GB2312"/>
          <w:sz w:val="32"/>
          <w:szCs w:val="32"/>
        </w:rPr>
      </w:pPr>
      <w:r>
        <w:rPr>
          <w:rFonts w:hint="eastAsia" w:ascii="仿宋_GB2312" w:hAnsi="文星仿宋" w:eastAsia="仿宋_GB2312"/>
          <w:sz w:val="32"/>
          <w:szCs w:val="32"/>
          <w:lang w:val="en-US" w:eastAsia="zh-CN"/>
        </w:rPr>
        <w:t>店子镇</w:t>
      </w:r>
      <w:r>
        <w:rPr>
          <w:rFonts w:hint="eastAsia" w:ascii="仿宋_GB2312" w:hAnsi="文星仿宋" w:eastAsia="仿宋_GB2312"/>
          <w:sz w:val="32"/>
          <w:szCs w:val="32"/>
        </w:rPr>
        <w:t>严格对标《冠县人民政府办公室关于2025年政务公开重点工作任务分工的通知》要求，紧扣年度核心任务，系统部署、整体推进政府信息公开工作。通过不断充实公开内容、拓宽公开渠道、创新公开形式，确保各项任务对标落实、取得实效，并主动加强成果宣传，积极向社会</w:t>
      </w:r>
      <w:bookmarkStart w:id="11" w:name="_GoBack"/>
      <w:bookmarkEnd w:id="11"/>
      <w:r>
        <w:rPr>
          <w:rFonts w:hint="eastAsia" w:ascii="仿宋_GB2312" w:hAnsi="文星仿宋" w:eastAsia="仿宋_GB2312"/>
          <w:sz w:val="32"/>
          <w:szCs w:val="32"/>
        </w:rPr>
        <w:t>展现政务公开工作进展与成效。</w:t>
      </w:r>
    </w:p>
    <w:p w14:paraId="75D1A2E4">
      <w:pPr>
        <w:ind w:firstLine="643" w:firstLineChars="200"/>
        <w:rPr>
          <w:rFonts w:hint="eastAsia" w:ascii="CESI楷体-GB2312" w:hAnsi="CESI楷体-GB2312" w:eastAsia="CESI楷体-GB2312" w:cs="CESI楷体-GB2312"/>
          <w:b/>
          <w:bCs/>
          <w:color w:val="auto"/>
          <w:sz w:val="32"/>
          <w:szCs w:val="32"/>
          <w:lang w:eastAsia="zh-CN"/>
        </w:rPr>
      </w:pPr>
      <w:r>
        <w:rPr>
          <w:rFonts w:hint="eastAsia" w:ascii="CESI楷体-GB2312" w:hAnsi="CESI楷体-GB2312" w:eastAsia="CESI楷体-GB2312" w:cs="CESI楷体-GB2312"/>
          <w:b/>
          <w:bCs/>
          <w:color w:val="auto"/>
          <w:sz w:val="32"/>
          <w:szCs w:val="32"/>
          <w:lang w:eastAsia="zh-CN"/>
        </w:rPr>
        <w:t>（三）人大代表建议和政协提案办理结果公开情况</w:t>
      </w:r>
    </w:p>
    <w:p w14:paraId="7BCD5871">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2025年冠县店子镇人民政府未收到人大代表建议和政协委员提案。</w:t>
      </w:r>
    </w:p>
    <w:p w14:paraId="0F278E08">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14:paraId="69E312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sz w:val="32"/>
          <w:szCs w:val="32"/>
          <w:lang w:val="en-US" w:eastAsia="zh-CN"/>
        </w:rPr>
      </w:pPr>
      <w:r>
        <w:rPr>
          <w:rFonts w:hint="eastAsia" w:ascii="仿宋_GB2312" w:hAnsi="仿宋_GB2312" w:eastAsia="仿宋_GB2312" w:cs="仿宋_GB2312"/>
          <w:snapToGrid w:val="0"/>
          <w:color w:val="auto"/>
          <w:sz w:val="32"/>
          <w:szCs w:val="32"/>
          <w:lang w:val="en-US" w:eastAsia="zh-CN"/>
        </w:rPr>
        <w:t>2025年，店子镇开展“政府开放日”活动，邀请党员代表、村民代表、企业代表等走进镇便民服务中心，通过现场观摩、流程讲解、模拟体验等形式，直观了解政务服务事项的办理环节、时限要求与审核标准。同时，以座谈交流形式主动征求社会各界对窗口服务、办事效率及政策制定等方面的意见建议，将公开过程转化为凝聚共识、改进工作、提升服务质量的良性互动过程。</w:t>
      </w:r>
    </w:p>
    <w:p w14:paraId="385E419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olor w:val="auto"/>
          <w:sz w:val="32"/>
          <w:szCs w:val="32"/>
          <w:lang w:val="en-US" w:eastAsia="zh-CN"/>
        </w:rPr>
      </w:pPr>
      <w:r>
        <w:rPr>
          <w:rFonts w:hint="eastAsia" w:ascii="仿宋_GB2312" w:hAnsi="仿宋_GB2312" w:eastAsia="仿宋_GB2312" w:cs="仿宋_GB2312"/>
          <w:snapToGrid w:val="0"/>
          <w:color w:val="auto"/>
          <w:sz w:val="32"/>
          <w:szCs w:val="32"/>
          <w:lang w:val="en-US" w:eastAsia="zh-CN"/>
        </w:rPr>
        <w:drawing>
          <wp:anchor distT="0" distB="0" distL="114300" distR="114300" simplePos="0" relativeHeight="251659264" behindDoc="0" locked="0" layoutInCell="1" allowOverlap="1">
            <wp:simplePos x="0" y="0"/>
            <wp:positionH relativeFrom="column">
              <wp:posOffset>-57150</wp:posOffset>
            </wp:positionH>
            <wp:positionV relativeFrom="page">
              <wp:posOffset>2124075</wp:posOffset>
            </wp:positionV>
            <wp:extent cx="5257800" cy="3771900"/>
            <wp:effectExtent l="0" t="0" r="0" b="0"/>
            <wp:wrapSquare wrapText="bothSides"/>
            <wp:docPr id="4" name="图片 4" descr="abe60af21867a71c223969f626ed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be60af21867a71c223969f626ed0760"/>
                    <pic:cNvPicPr>
                      <a:picLocks noChangeAspect="1"/>
                    </pic:cNvPicPr>
                  </pic:nvPicPr>
                  <pic:blipFill>
                    <a:blip r:embed="rId6"/>
                    <a:stretch>
                      <a:fillRect/>
                    </a:stretch>
                  </pic:blipFill>
                  <pic:spPr>
                    <a:xfrm>
                      <a:off x="0" y="0"/>
                      <a:ext cx="5257800" cy="3771900"/>
                    </a:xfrm>
                    <a:prstGeom prst="rect">
                      <a:avLst/>
                    </a:prstGeom>
                  </pic:spPr>
                </pic:pic>
              </a:graphicData>
            </a:graphic>
          </wp:anchor>
        </w:drawing>
      </w:r>
      <w:r>
        <w:rPr>
          <w:rFonts w:hint="eastAsia" w:ascii="仿宋_GB2312" w:hAnsi="仿宋_GB2312" w:eastAsia="仿宋_GB2312" w:cs="仿宋_GB2312"/>
          <w:snapToGrid w:val="0"/>
          <w:color w:val="auto"/>
          <w:sz w:val="32"/>
          <w:szCs w:val="32"/>
          <w:lang w:val="en-US" w:eastAsia="zh-CN"/>
        </w:rPr>
        <w:t xml:space="preserve">  </w:t>
      </w:r>
      <w:r>
        <w:rPr>
          <w:rFonts w:hint="eastAsia" w:ascii="CESI楷体-GB2312" w:hAnsi="CESI楷体-GB2312" w:eastAsia="CESI楷体-GB2312" w:cs="CESI楷体-GB2312"/>
          <w:b/>
          <w:bCs/>
          <w:sz w:val="32"/>
          <w:szCs w:val="32"/>
          <w:lang w:eastAsia="zh-CN"/>
        </w:rPr>
        <w:t>（五）政府信息公开年度报告数据统计需要说明的事项</w:t>
      </w:r>
    </w:p>
    <w:p w14:paraId="7332AF0E">
      <w:pPr>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1.本年度报告中所列数据统计期限从2025年1月1日到12月31日止。</w:t>
      </w:r>
    </w:p>
    <w:p w14:paraId="71632F81">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2.行政许可数量、行政处罚和行政强制数量，包括已公开和依法未公开的全部处理决定。</w:t>
      </w:r>
    </w:p>
    <w:p w14:paraId="261D8BE4">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3.行政复议机关作为共同被告的行政诉讼案件，只计算原行为主体的案件数量，不计算行政复议机关的案件数量。</w:t>
      </w:r>
    </w:p>
    <w:p w14:paraId="57B02B2B">
      <w:pPr>
        <w:ind w:firstLine="640" w:firstLineChars="200"/>
        <w:rPr>
          <w:rFonts w:hint="eastAsia" w:ascii="仿宋_GB2312" w:eastAsia="仿宋_GB2312"/>
          <w:color w:val="auto"/>
          <w:sz w:val="32"/>
          <w:szCs w:val="32"/>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decorative"/>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decorative"/>
    <w:pitch w:val="default"/>
    <w:sig w:usb0="00000001" w:usb1="080E0000" w:usb2="00000000" w:usb3="00000000" w:csb0="00040000" w:csb1="00000000"/>
  </w:font>
  <w:font w:name="汉仪中等线简">
    <w:altName w:val="宋体"/>
    <w:panose1 w:val="02010600000101010101"/>
    <w:charset w:val="86"/>
    <w:family w:val="modern"/>
    <w:pitch w:val="default"/>
    <w:sig w:usb0="00000000" w:usb1="00000000" w:usb2="00000002"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03EE6">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C53FAB">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V0Ed0BAAC+AwAADgAAAGRycy9lMm9Eb2MueG1srVNBrtMwEN0jcQfL&#10;e5q0E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hVdBHdAQAAvgMAAA4AAAAAAAAA&#10;AQAgAAAAHgEAAGRycy9lMm9Eb2MueG1sUEsFBgAAAAAGAAYAWQEAAG0FAAAAAA==&#10;">
              <v:fill on="f" focussize="0,0"/>
              <v:stroke on="f"/>
              <v:imagedata o:title=""/>
              <o:lock v:ext="edit" aspectratio="f"/>
              <v:textbox inset="0mm,0mm,0mm,0mm" style="mso-fit-shape-to-text:t;">
                <w:txbxContent>
                  <w:p w14:paraId="1FC53F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479142"/>
    <w:multiLevelType w:val="singleLevel"/>
    <w:tmpl w:val="7147914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0MjFmNWNjMDJmN2ZlZjc3YjRkZDY2MzY0YThhMzEifQ=="/>
  </w:docVars>
  <w:rsids>
    <w:rsidRoot w:val="00172A27"/>
    <w:rsid w:val="063F42BB"/>
    <w:rsid w:val="09BFAE49"/>
    <w:rsid w:val="0B7D1D96"/>
    <w:rsid w:val="0D610D35"/>
    <w:rsid w:val="0FFD0A9A"/>
    <w:rsid w:val="142C2025"/>
    <w:rsid w:val="163F2C2D"/>
    <w:rsid w:val="17BFEB6D"/>
    <w:rsid w:val="17CD8F2E"/>
    <w:rsid w:val="1A5C4D5F"/>
    <w:rsid w:val="1CF523BA"/>
    <w:rsid w:val="1D7F0271"/>
    <w:rsid w:val="1D8C0B85"/>
    <w:rsid w:val="1FD5D705"/>
    <w:rsid w:val="25ED1779"/>
    <w:rsid w:val="25FE3D80"/>
    <w:rsid w:val="29190896"/>
    <w:rsid w:val="2BFFECDA"/>
    <w:rsid w:val="2D07E0AC"/>
    <w:rsid w:val="2D571051"/>
    <w:rsid w:val="2D7F721F"/>
    <w:rsid w:val="2FAF9428"/>
    <w:rsid w:val="30FFC5AF"/>
    <w:rsid w:val="320545A0"/>
    <w:rsid w:val="35BC3F0A"/>
    <w:rsid w:val="35F5F7BD"/>
    <w:rsid w:val="36ED2F5F"/>
    <w:rsid w:val="38754646"/>
    <w:rsid w:val="3BCE3EB9"/>
    <w:rsid w:val="3BD38DA5"/>
    <w:rsid w:val="3BFF0F2E"/>
    <w:rsid w:val="3CAB10C6"/>
    <w:rsid w:val="3D1B60F2"/>
    <w:rsid w:val="3DBF5A2C"/>
    <w:rsid w:val="3DFE2019"/>
    <w:rsid w:val="3DFF2151"/>
    <w:rsid w:val="3DFF6C3A"/>
    <w:rsid w:val="3DFFD035"/>
    <w:rsid w:val="3E7A39E2"/>
    <w:rsid w:val="3EBA999F"/>
    <w:rsid w:val="3EF757ED"/>
    <w:rsid w:val="3EF79DD7"/>
    <w:rsid w:val="3EFB272A"/>
    <w:rsid w:val="3EFE9921"/>
    <w:rsid w:val="3EFF3A68"/>
    <w:rsid w:val="3F7B21EB"/>
    <w:rsid w:val="3F9D550D"/>
    <w:rsid w:val="3FC78B58"/>
    <w:rsid w:val="3FE999B0"/>
    <w:rsid w:val="3FEE2C70"/>
    <w:rsid w:val="3FF750D2"/>
    <w:rsid w:val="3FFE923C"/>
    <w:rsid w:val="3FFEA9BE"/>
    <w:rsid w:val="3FFF1B85"/>
    <w:rsid w:val="3FFFD654"/>
    <w:rsid w:val="3FFFD794"/>
    <w:rsid w:val="43FF2EF7"/>
    <w:rsid w:val="47BFD4FF"/>
    <w:rsid w:val="49487776"/>
    <w:rsid w:val="4BF5763D"/>
    <w:rsid w:val="4D5B5553"/>
    <w:rsid w:val="4D7FA9EA"/>
    <w:rsid w:val="4EFF75C3"/>
    <w:rsid w:val="4FAC3C80"/>
    <w:rsid w:val="4FBECA11"/>
    <w:rsid w:val="51E54756"/>
    <w:rsid w:val="51FED7AB"/>
    <w:rsid w:val="53030707"/>
    <w:rsid w:val="53EF3D66"/>
    <w:rsid w:val="53F493FF"/>
    <w:rsid w:val="544FEB14"/>
    <w:rsid w:val="553A8547"/>
    <w:rsid w:val="57DF68D6"/>
    <w:rsid w:val="57FF96B1"/>
    <w:rsid w:val="5A570386"/>
    <w:rsid w:val="5AAF1C75"/>
    <w:rsid w:val="5B5BAFEC"/>
    <w:rsid w:val="5BFCC93E"/>
    <w:rsid w:val="5C4A1F98"/>
    <w:rsid w:val="5DEF253B"/>
    <w:rsid w:val="5DFB2BCB"/>
    <w:rsid w:val="5E7FA522"/>
    <w:rsid w:val="5ED5AFFA"/>
    <w:rsid w:val="5EECA290"/>
    <w:rsid w:val="5EEFD745"/>
    <w:rsid w:val="5EFA7CCD"/>
    <w:rsid w:val="5F7E52F8"/>
    <w:rsid w:val="5F8F8379"/>
    <w:rsid w:val="5FBDD6D2"/>
    <w:rsid w:val="5FBEDD70"/>
    <w:rsid w:val="5FEE129C"/>
    <w:rsid w:val="5FF6D530"/>
    <w:rsid w:val="60FFB723"/>
    <w:rsid w:val="628F4EA0"/>
    <w:rsid w:val="62E1223B"/>
    <w:rsid w:val="677EB821"/>
    <w:rsid w:val="67A7F5CE"/>
    <w:rsid w:val="67B5DDFC"/>
    <w:rsid w:val="67CF50FE"/>
    <w:rsid w:val="67F759EC"/>
    <w:rsid w:val="6BBFA990"/>
    <w:rsid w:val="6BFFC3DB"/>
    <w:rsid w:val="6C3D09B7"/>
    <w:rsid w:val="6C7F5D64"/>
    <w:rsid w:val="6DDCA9AA"/>
    <w:rsid w:val="6DE7C9C6"/>
    <w:rsid w:val="6DF2E1CE"/>
    <w:rsid w:val="6DFEA2C1"/>
    <w:rsid w:val="6E8D6C29"/>
    <w:rsid w:val="6EBF73E3"/>
    <w:rsid w:val="6ED7CCDE"/>
    <w:rsid w:val="6EF4C2E7"/>
    <w:rsid w:val="6EFF0C1C"/>
    <w:rsid w:val="6F37D775"/>
    <w:rsid w:val="6F751F91"/>
    <w:rsid w:val="6FBB27F8"/>
    <w:rsid w:val="6FBF0D38"/>
    <w:rsid w:val="6FEE42C7"/>
    <w:rsid w:val="6FF330EE"/>
    <w:rsid w:val="6FFD68DA"/>
    <w:rsid w:val="72CFD79F"/>
    <w:rsid w:val="743D6E53"/>
    <w:rsid w:val="757F11AD"/>
    <w:rsid w:val="75F77CD4"/>
    <w:rsid w:val="767B5FE7"/>
    <w:rsid w:val="775EB7B1"/>
    <w:rsid w:val="777FE3A6"/>
    <w:rsid w:val="77CA8C2E"/>
    <w:rsid w:val="77E2226A"/>
    <w:rsid w:val="77FEB9F5"/>
    <w:rsid w:val="7A093C36"/>
    <w:rsid w:val="7A659252"/>
    <w:rsid w:val="7A7F311F"/>
    <w:rsid w:val="7A7F43F2"/>
    <w:rsid w:val="7AFF42DA"/>
    <w:rsid w:val="7B5AB41D"/>
    <w:rsid w:val="7BCF7B60"/>
    <w:rsid w:val="7BD783A9"/>
    <w:rsid w:val="7BE5A58A"/>
    <w:rsid w:val="7BEC260E"/>
    <w:rsid w:val="7BED0E57"/>
    <w:rsid w:val="7BFE7A63"/>
    <w:rsid w:val="7BFF0E94"/>
    <w:rsid w:val="7BFF5E57"/>
    <w:rsid w:val="7BFF8F4B"/>
    <w:rsid w:val="7C6E4FA9"/>
    <w:rsid w:val="7C779C33"/>
    <w:rsid w:val="7CDF3DBD"/>
    <w:rsid w:val="7CEDB899"/>
    <w:rsid w:val="7CFF7EE1"/>
    <w:rsid w:val="7D74B766"/>
    <w:rsid w:val="7D873C6A"/>
    <w:rsid w:val="7DFF0B4D"/>
    <w:rsid w:val="7E6F71AF"/>
    <w:rsid w:val="7E7135BF"/>
    <w:rsid w:val="7E7F3052"/>
    <w:rsid w:val="7EBF93D3"/>
    <w:rsid w:val="7EE56A34"/>
    <w:rsid w:val="7EED5D03"/>
    <w:rsid w:val="7EEF5AF8"/>
    <w:rsid w:val="7EF95957"/>
    <w:rsid w:val="7F13F6CF"/>
    <w:rsid w:val="7F6FD504"/>
    <w:rsid w:val="7F73E18E"/>
    <w:rsid w:val="7F75EFE6"/>
    <w:rsid w:val="7F8E3466"/>
    <w:rsid w:val="7FBFAEB4"/>
    <w:rsid w:val="7FEF658B"/>
    <w:rsid w:val="7FFF27F7"/>
    <w:rsid w:val="7FFFB5D4"/>
    <w:rsid w:val="85BC9B61"/>
    <w:rsid w:val="895F4D7A"/>
    <w:rsid w:val="8BB95354"/>
    <w:rsid w:val="8D78DC5A"/>
    <w:rsid w:val="91E93E2F"/>
    <w:rsid w:val="956D85C9"/>
    <w:rsid w:val="97EF4932"/>
    <w:rsid w:val="9B7FC383"/>
    <w:rsid w:val="9CEF00A8"/>
    <w:rsid w:val="9D9797CC"/>
    <w:rsid w:val="9DA30073"/>
    <w:rsid w:val="9EAFAA5D"/>
    <w:rsid w:val="9FFF0F55"/>
    <w:rsid w:val="A7FCE885"/>
    <w:rsid w:val="A9DABC93"/>
    <w:rsid w:val="AA0F8F88"/>
    <w:rsid w:val="AFCFC30E"/>
    <w:rsid w:val="B2E9B92F"/>
    <w:rsid w:val="B6B5480E"/>
    <w:rsid w:val="B77FA11B"/>
    <w:rsid w:val="B7C8F05D"/>
    <w:rsid w:val="BA7B23C6"/>
    <w:rsid w:val="BB7FCE6F"/>
    <w:rsid w:val="BBF92763"/>
    <w:rsid w:val="BC99AAB2"/>
    <w:rsid w:val="BCDAB567"/>
    <w:rsid w:val="BDB7618B"/>
    <w:rsid w:val="BDFFFE4E"/>
    <w:rsid w:val="BE7F16D8"/>
    <w:rsid w:val="BEFEC590"/>
    <w:rsid w:val="BEFF4B1A"/>
    <w:rsid w:val="BEFF91CF"/>
    <w:rsid w:val="BF470EE9"/>
    <w:rsid w:val="BFBA06E8"/>
    <w:rsid w:val="BFDB1BD3"/>
    <w:rsid w:val="BFDE7FE6"/>
    <w:rsid w:val="BFFFA3C3"/>
    <w:rsid w:val="BFFFF9DE"/>
    <w:rsid w:val="CDDE6BA6"/>
    <w:rsid w:val="CEED47EB"/>
    <w:rsid w:val="CF3DEF47"/>
    <w:rsid w:val="CFEDAE56"/>
    <w:rsid w:val="CFFF7263"/>
    <w:rsid w:val="D3E7E68F"/>
    <w:rsid w:val="D3FDE46D"/>
    <w:rsid w:val="D6BDA0FD"/>
    <w:rsid w:val="D7359B72"/>
    <w:rsid w:val="D7379F0F"/>
    <w:rsid w:val="D7B98E93"/>
    <w:rsid w:val="D7DEF8C9"/>
    <w:rsid w:val="D7F5A054"/>
    <w:rsid w:val="D7FBEBB9"/>
    <w:rsid w:val="D9AF3344"/>
    <w:rsid w:val="D9FFB875"/>
    <w:rsid w:val="DB1F8E78"/>
    <w:rsid w:val="DB76A610"/>
    <w:rsid w:val="DBD7ADD7"/>
    <w:rsid w:val="DBFA1478"/>
    <w:rsid w:val="DD6FDAA3"/>
    <w:rsid w:val="DDC5C86D"/>
    <w:rsid w:val="DECFE433"/>
    <w:rsid w:val="DEED708E"/>
    <w:rsid w:val="DEFDD219"/>
    <w:rsid w:val="DEFE3B35"/>
    <w:rsid w:val="DF1BD31B"/>
    <w:rsid w:val="DF9A698D"/>
    <w:rsid w:val="DF9CD2A4"/>
    <w:rsid w:val="DFCD0EC4"/>
    <w:rsid w:val="DFEB4B44"/>
    <w:rsid w:val="DFEE4FA3"/>
    <w:rsid w:val="DFF2682B"/>
    <w:rsid w:val="DFF30864"/>
    <w:rsid w:val="DFF37627"/>
    <w:rsid w:val="DFF9E35E"/>
    <w:rsid w:val="DFFE574B"/>
    <w:rsid w:val="DFFE9125"/>
    <w:rsid w:val="DFFF3C74"/>
    <w:rsid w:val="E19FAC9C"/>
    <w:rsid w:val="EB7DFB4E"/>
    <w:rsid w:val="EB9F4F9F"/>
    <w:rsid w:val="EBAA24F9"/>
    <w:rsid w:val="EBBBC8EE"/>
    <w:rsid w:val="ED3E1A38"/>
    <w:rsid w:val="EDFD693B"/>
    <w:rsid w:val="EFA4C132"/>
    <w:rsid w:val="EFF63DBB"/>
    <w:rsid w:val="F0D310D9"/>
    <w:rsid w:val="F18F2102"/>
    <w:rsid w:val="F1BD59D0"/>
    <w:rsid w:val="F25B21BC"/>
    <w:rsid w:val="F37D58FD"/>
    <w:rsid w:val="F37D7D33"/>
    <w:rsid w:val="F3FEE081"/>
    <w:rsid w:val="F4CF5228"/>
    <w:rsid w:val="F57F64D6"/>
    <w:rsid w:val="F5ED3CA1"/>
    <w:rsid w:val="F67F67ED"/>
    <w:rsid w:val="F6AF652A"/>
    <w:rsid w:val="F75F7171"/>
    <w:rsid w:val="F77FAC29"/>
    <w:rsid w:val="F7B7D272"/>
    <w:rsid w:val="F7F687A6"/>
    <w:rsid w:val="F7F7000F"/>
    <w:rsid w:val="F7F75A83"/>
    <w:rsid w:val="F7FF23C3"/>
    <w:rsid w:val="F7FFC80F"/>
    <w:rsid w:val="F8FF947A"/>
    <w:rsid w:val="FAFDB593"/>
    <w:rsid w:val="FB743BE6"/>
    <w:rsid w:val="FBCEBB90"/>
    <w:rsid w:val="FBF3231B"/>
    <w:rsid w:val="FBFB032A"/>
    <w:rsid w:val="FBFFBC43"/>
    <w:rsid w:val="FCFB435D"/>
    <w:rsid w:val="FD1D5D8B"/>
    <w:rsid w:val="FD1D8327"/>
    <w:rsid w:val="FD5F7B13"/>
    <w:rsid w:val="FDBEBB72"/>
    <w:rsid w:val="FDFFA346"/>
    <w:rsid w:val="FE734873"/>
    <w:rsid w:val="FE73510B"/>
    <w:rsid w:val="FEBDF147"/>
    <w:rsid w:val="FED2D094"/>
    <w:rsid w:val="FEDEB4CA"/>
    <w:rsid w:val="FEE63162"/>
    <w:rsid w:val="FEEDCFAA"/>
    <w:rsid w:val="FEF79DFC"/>
    <w:rsid w:val="FEFEE4AF"/>
    <w:rsid w:val="FEFF4704"/>
    <w:rsid w:val="FEFF4951"/>
    <w:rsid w:val="FF2FA6E5"/>
    <w:rsid w:val="FF5C5AE4"/>
    <w:rsid w:val="FF724A99"/>
    <w:rsid w:val="FF737244"/>
    <w:rsid w:val="FFAE1F37"/>
    <w:rsid w:val="FFB76AB9"/>
    <w:rsid w:val="FFBE0763"/>
    <w:rsid w:val="FFBF25AE"/>
    <w:rsid w:val="FFD970A3"/>
    <w:rsid w:val="FFDB7C45"/>
    <w:rsid w:val="FFF45F86"/>
    <w:rsid w:val="FFF662DE"/>
    <w:rsid w:val="FFFD433D"/>
    <w:rsid w:val="FFFD6089"/>
    <w:rsid w:val="FFFE85DA"/>
    <w:rsid w:val="FFFF34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2662</Words>
  <Characters>2791</Characters>
  <Lines>0</Lines>
  <Paragraphs>0</Paragraphs>
  <TotalTime>18</TotalTime>
  <ScaleCrop>false</ScaleCrop>
  <LinksUpToDate>false</LinksUpToDate>
  <CharactersWithSpaces>2793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2022-01-11T17:11:00Z</dcterms:created>
  <dc:creator>user</dc:creator>
  <cp:lastModifiedBy>cookie</cp:lastModifiedBy>
  <dcterms:modified xsi:type="dcterms:W3CDTF">2026-01-27T07:12:06Z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935C4B7F13751441FFAB656929371443_43</vt:lpwstr>
  </property>
  <property fmtid="{D5CDD505-2E9C-101B-9397-08002B2CF9AE}" pid="4" name="KSOTemplateDocerSaveRecord">
    <vt:lpwstr>eyJoZGlkIjoiYmFiYzI2MWM0NWFiMWQ2ODljYjk4YzY5MTQxZGNlN2IiLCJ1c2VySWQiOiI0MjIyMzUzNjYifQ==</vt:lpwstr>
  </property>
</Properties>
</file>