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F21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清泉街</w:t>
      </w:r>
      <w:bookmarkStart w:id="11" w:name="_GoBack"/>
      <w:bookmarkEnd w:id="11"/>
      <w:r>
        <w:rPr>
          <w:rFonts w:hint="eastAsia" w:ascii="CESI小标宋-GB2312" w:hAnsi="CESI小标宋-GB2312" w:eastAsia="CESI小标宋-GB2312" w:cs="CESI小标宋-GB2312"/>
          <w:sz w:val="44"/>
          <w:szCs w:val="44"/>
          <w:lang w:val="en-US" w:eastAsia="zh-CN"/>
        </w:rPr>
        <w:t>道办事处2025年</w:t>
      </w:r>
      <w:r>
        <w:rPr>
          <w:rFonts w:hint="eastAsia" w:ascii="CESI小标宋-GB2312" w:hAnsi="CESI小标宋-GB2312" w:eastAsia="CESI小标宋-GB2312" w:cs="CESI小标宋-GB2312"/>
          <w:sz w:val="44"/>
          <w:szCs w:val="44"/>
        </w:rPr>
        <w:t>政府信息公开工作年度报告</w:t>
      </w:r>
    </w:p>
    <w:p w14:paraId="6425109B">
      <w:pPr>
        <w:rPr>
          <w:rFonts w:hint="eastAsia" w:ascii="仿宋_GB2312" w:hAnsi="仿宋_GB2312" w:eastAsia="仿宋_GB2312" w:cs="仿宋_GB2312"/>
          <w:sz w:val="32"/>
          <w:szCs w:val="40"/>
        </w:rPr>
      </w:pPr>
    </w:p>
    <w:p w14:paraId="67D3F84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val="en-US" w:eastAsia="zh-CN"/>
        </w:rPr>
        <w:t>清泉街道办事处</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西环路663号；邮编：252500；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0635-5100510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gxqqjdbgs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14:paraId="13CFF1AF">
      <w:pPr>
        <w:numPr>
          <w:ilvl w:val="0"/>
          <w:numId w:val="1"/>
        </w:numPr>
        <w:ind w:firstLine="640" w:firstLineChars="200"/>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总体情况</w:t>
      </w:r>
    </w:p>
    <w:p w14:paraId="7474398D">
      <w:pPr>
        <w:numPr>
          <w:ilvl w:val="0"/>
          <w:numId w:val="0"/>
        </w:numPr>
        <w:ind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2025年，</w:t>
      </w:r>
      <w:r>
        <w:rPr>
          <w:rFonts w:hint="eastAsia" w:ascii="仿宋_GB2312" w:hAnsi="仿宋_GB2312" w:eastAsia="仿宋_GB2312" w:cs="仿宋_GB2312"/>
          <w:b w:val="0"/>
          <w:bCs w:val="0"/>
          <w:color w:val="auto"/>
          <w:sz w:val="32"/>
          <w:szCs w:val="32"/>
        </w:rPr>
        <w:t>冠县</w:t>
      </w:r>
      <w:r>
        <w:rPr>
          <w:rFonts w:hint="eastAsia" w:ascii="仿宋_GB2312" w:hAnsi="仿宋_GB2312" w:eastAsia="仿宋_GB2312" w:cs="仿宋_GB2312"/>
          <w:b w:val="0"/>
          <w:bCs w:val="0"/>
          <w:color w:val="auto"/>
          <w:sz w:val="32"/>
          <w:szCs w:val="32"/>
          <w:lang w:eastAsia="zh-CN"/>
        </w:rPr>
        <w:t>清泉街道办事处深入推进政府信息公开工作，严格落实管理制度，深化保密审查与集成发布。平台建设线上线下并重，</w:t>
      </w:r>
      <w:r>
        <w:rPr>
          <w:rFonts w:ascii="仿宋_GB2312" w:hAnsi="宋体" w:eastAsia="仿宋_GB2312" w:cs="仿宋_GB2312"/>
          <w:i w:val="0"/>
          <w:iCs w:val="0"/>
          <w:caps w:val="0"/>
          <w:color w:val="000000"/>
          <w:spacing w:val="0"/>
          <w:sz w:val="32"/>
          <w:szCs w:val="32"/>
        </w:rPr>
        <w:t>做好政府网站信息发布，</w:t>
      </w:r>
      <w:r>
        <w:rPr>
          <w:rFonts w:hint="eastAsia" w:ascii="仿宋_GB2312" w:hAnsi="仿宋_GB2312" w:eastAsia="仿宋_GB2312" w:cs="仿宋_GB2312"/>
          <w:b w:val="0"/>
          <w:bCs w:val="0"/>
          <w:color w:val="auto"/>
          <w:sz w:val="32"/>
          <w:szCs w:val="32"/>
          <w:lang w:eastAsia="zh-CN"/>
        </w:rPr>
        <w:t>规范新媒体运营，完善线下查阅场所。同时，强化组织保障与考核问责，提升人员履职能力，确保信息公开规范高效，切实保障公众知情权与监督权。</w:t>
      </w:r>
    </w:p>
    <w:p w14:paraId="43555DAF">
      <w:pPr>
        <w:numPr>
          <w:ilvl w:val="0"/>
          <w:numId w:val="0"/>
        </w:numPr>
        <w:ind w:firstLine="643" w:firstLineChars="200"/>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主动公开</w:t>
      </w:r>
    </w:p>
    <w:p w14:paraId="7BE3BEFA">
      <w:pPr>
        <w:numPr>
          <w:ilvl w:val="0"/>
          <w:numId w:val="0"/>
        </w:numPr>
        <w:ind w:firstLine="640" w:firstLineChars="200"/>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冠县清泉街道办事处202</w:t>
      </w:r>
      <w:r>
        <w:rPr>
          <w:rFonts w:hint="eastAsia" w:ascii="仿宋_GB2312" w:hAnsi="仿宋_GB2312" w:eastAsia="仿宋_GB2312" w:cs="仿宋_GB2312"/>
          <w:b w:val="0"/>
          <w:bCs w:val="0"/>
          <w:color w:val="auto"/>
          <w:sz w:val="32"/>
          <w:szCs w:val="32"/>
          <w:lang w:val="en-US" w:eastAsia="zh-CN"/>
        </w:rPr>
        <w:t>5</w:t>
      </w:r>
      <w:r>
        <w:rPr>
          <w:rFonts w:hint="default" w:ascii="仿宋_GB2312" w:hAnsi="仿宋_GB2312" w:eastAsia="仿宋_GB2312" w:cs="仿宋_GB2312"/>
          <w:b w:val="0"/>
          <w:bCs w:val="0"/>
          <w:color w:val="auto"/>
          <w:sz w:val="32"/>
          <w:szCs w:val="32"/>
          <w:lang w:val="en-US" w:eastAsia="zh-CN"/>
        </w:rPr>
        <w:t>年通过冠县人民政府网站主动公开发布政府信息</w:t>
      </w:r>
      <w:r>
        <w:rPr>
          <w:rFonts w:hint="eastAsia" w:ascii="仿宋_GB2312" w:hAnsi="仿宋_GB2312" w:eastAsia="仿宋_GB2312" w:cs="仿宋_GB2312"/>
          <w:b w:val="0"/>
          <w:bCs w:val="0"/>
          <w:color w:val="auto"/>
          <w:sz w:val="32"/>
          <w:szCs w:val="32"/>
          <w:lang w:val="en-US" w:eastAsia="zh-CN"/>
        </w:rPr>
        <w:t>45</w:t>
      </w:r>
      <w:r>
        <w:rPr>
          <w:rFonts w:hint="default" w:ascii="仿宋_GB2312" w:hAnsi="仿宋_GB2312" w:eastAsia="仿宋_GB2312" w:cs="仿宋_GB2312"/>
          <w:b w:val="0"/>
          <w:bCs w:val="0"/>
          <w:color w:val="auto"/>
          <w:sz w:val="32"/>
          <w:szCs w:val="32"/>
          <w:lang w:val="en-US" w:eastAsia="zh-CN"/>
        </w:rPr>
        <w:t>条，主要包括镇街动态</w:t>
      </w:r>
      <w:r>
        <w:rPr>
          <w:rFonts w:hint="eastAsia" w:ascii="仿宋_GB2312" w:hAnsi="仿宋_GB2312" w:eastAsia="仿宋_GB2312" w:cs="仿宋_GB2312"/>
          <w:b w:val="0"/>
          <w:bCs w:val="0"/>
          <w:color w:val="auto"/>
          <w:sz w:val="32"/>
          <w:szCs w:val="32"/>
          <w:lang w:val="en-US" w:eastAsia="zh-CN"/>
        </w:rPr>
        <w:t>16条</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行政执法信息13条</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机构职能信息9条，其它方面信息7条。</w:t>
      </w:r>
    </w:p>
    <w:p w14:paraId="79A6BAF1">
      <w:pPr>
        <w:numPr>
          <w:ilvl w:val="0"/>
          <w:numId w:val="0"/>
        </w:numPr>
        <w:jc w:val="center"/>
        <w:rPr>
          <w:rFonts w:hint="default" w:ascii="仿宋_GB2312" w:hAnsi="仿宋_GB2312" w:eastAsia="仿宋_GB2312" w:cs="仿宋_GB2312"/>
          <w:b w:val="0"/>
          <w:bCs w:val="0"/>
          <w:color w:val="auto"/>
          <w:sz w:val="32"/>
          <w:szCs w:val="32"/>
          <w:lang w:val="en-US" w:eastAsia="zh-CN"/>
        </w:rPr>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6C140DC">
      <w:pPr>
        <w:numPr>
          <w:ilvl w:val="0"/>
          <w:numId w:val="0"/>
        </w:numPr>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（二）依申请公开</w:t>
      </w:r>
    </w:p>
    <w:p w14:paraId="76474F3A">
      <w:pPr>
        <w:numPr>
          <w:ilvl w:val="0"/>
          <w:numId w:val="0"/>
        </w:numPr>
        <w:ind w:firstLine="640" w:firstLineChars="200"/>
        <w:rPr>
          <w:rFonts w:hint="eastAsia" w:ascii="仿宋_GB2312" w:eastAsia="仿宋_GB2312" w:cs="汉仪中等线简"/>
          <w:sz w:val="32"/>
          <w:szCs w:val="32"/>
        </w:rPr>
      </w:pPr>
      <w:r>
        <w:rPr>
          <w:rFonts w:hint="eastAsia" w:ascii="仿宋_GB2312" w:eastAsia="仿宋_GB2312"/>
          <w:color w:val="auto"/>
          <w:sz w:val="32"/>
          <w:szCs w:val="32"/>
          <w:lang w:val="en-US" w:eastAsia="zh-CN"/>
        </w:rPr>
        <w:t>2025年，共受理政府信息公开申请9件，申请数量较去年增长800%。</w:t>
      </w:r>
      <w:r>
        <w:rPr>
          <w:rFonts w:hint="eastAsia" w:ascii="仿宋_GB2312" w:eastAsia="仿宋_GB2312"/>
          <w:color w:val="auto"/>
          <w:sz w:val="32"/>
          <w:szCs w:val="32"/>
        </w:rPr>
        <w:t>政府信息公开申请内容主要涉及</w:t>
      </w:r>
      <w:r>
        <w:rPr>
          <w:rFonts w:hint="eastAsia" w:ascii="仿宋_GB2312" w:eastAsia="仿宋_GB2312"/>
          <w:color w:val="auto"/>
          <w:sz w:val="32"/>
          <w:szCs w:val="32"/>
          <w:lang w:val="en-US" w:eastAsia="zh-CN"/>
        </w:rPr>
        <w:t>征地拆迁、社会保障信息、经济发展与项目建设信息</w:t>
      </w:r>
      <w:r>
        <w:rPr>
          <w:rFonts w:hint="default" w:ascii="仿宋_GB2312" w:eastAsia="仿宋_GB2312"/>
          <w:color w:val="auto"/>
          <w:sz w:val="32"/>
          <w:szCs w:val="32"/>
          <w:lang w:val="en-US" w:eastAsia="zh-CN"/>
        </w:rPr>
        <w:t>等方面。</w:t>
      </w:r>
      <w:r>
        <w:rPr>
          <w:rFonts w:hint="eastAsia" w:ascii="Times New Roman" w:hAnsi="Times New Roman" w:eastAsia="仿宋_GB2312" w:cs="仿宋_GB2312"/>
          <w:color w:val="auto"/>
          <w:sz w:val="32"/>
          <w:szCs w:val="32"/>
        </w:rPr>
        <w:t>本年度答复政府信息公开申请</w:t>
      </w:r>
      <w:r>
        <w:rPr>
          <w:rFonts w:hint="eastAsia" w:ascii="仿宋_GB2312" w:eastAsia="仿宋_GB2312"/>
          <w:color w:val="auto"/>
          <w:sz w:val="32"/>
          <w:szCs w:val="32"/>
          <w:lang w:val="en-US" w:eastAsia="zh-CN"/>
        </w:rPr>
        <w:t>9</w:t>
      </w:r>
      <w:r>
        <w:rPr>
          <w:rFonts w:hint="eastAsia" w:ascii="Times New Roman" w:hAnsi="Times New Roman" w:eastAsia="仿宋_GB2312" w:cs="仿宋_GB2312"/>
          <w:color w:val="auto"/>
          <w:sz w:val="32"/>
          <w:szCs w:val="32"/>
        </w:rPr>
        <w:t>件。在答复的申请中：</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予以公开</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4</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件</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、占44</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%，部分公开</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4</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件</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、占44</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%，其他处理</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件</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占</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11</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w:t>
      </w:r>
      <w:r>
        <w:rPr>
          <w:rFonts w:hint="eastAsia" w:ascii="仿宋_GB2312" w:eastAsia="仿宋_GB2312" w:cs="汉仪中等线简"/>
          <w:color w:val="000000"/>
          <w:sz w:val="32"/>
          <w:szCs w:val="32"/>
        </w:rPr>
        <w:t>信</w:t>
      </w:r>
      <w:r>
        <w:rPr>
          <w:rFonts w:hint="eastAsia" w:ascii="仿宋_GB2312" w:eastAsia="仿宋_GB2312" w:cs="汉仪中等线简"/>
          <w:sz w:val="32"/>
          <w:szCs w:val="32"/>
        </w:rPr>
        <w:t>息公开行政复议</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w:t>
      </w:r>
      <w:r>
        <w:rPr>
          <w:rFonts w:hint="eastAsia" w:ascii="仿宋_GB2312" w:eastAsia="仿宋_GB2312" w:cs="汉仪中等线简"/>
          <w:sz w:val="32"/>
          <w:szCs w:val="32"/>
        </w:rPr>
        <w:t>件。</w:t>
      </w:r>
    </w:p>
    <w:p w14:paraId="312F2207">
      <w:pPr>
        <w:numPr>
          <w:ilvl w:val="0"/>
          <w:numId w:val="0"/>
        </w:numPr>
        <w:jc w:val="center"/>
        <w:rPr>
          <w:rFonts w:hint="default" w:ascii="仿宋_GB2312" w:eastAsia="仿宋_GB2312" w:cs="汉仪中等线简"/>
          <w:sz w:val="32"/>
          <w:szCs w:val="32"/>
          <w:lang w:val="en-US" w:eastAsia="zh-CN"/>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52C8B9C">
      <w:pPr>
        <w:numPr>
          <w:ilvl w:val="0"/>
          <w:numId w:val="0"/>
        </w:numPr>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（三）</w:t>
      </w:r>
      <w:r>
        <w:rPr>
          <w:rFonts w:hint="eastAsia" w:ascii="楷体_GB2312" w:hAnsi="楷体_GB2312" w:eastAsia="楷体_GB2312" w:cs="楷体_GB2312"/>
          <w:b/>
          <w:bCs/>
          <w:color w:val="auto"/>
          <w:sz w:val="32"/>
          <w:szCs w:val="32"/>
          <w:lang w:val="en-US" w:eastAsia="zh-CN"/>
        </w:rPr>
        <w:t>政府信息管理</w:t>
      </w:r>
    </w:p>
    <w:p w14:paraId="59099B19">
      <w:pPr>
        <w:widowControl w:val="0"/>
        <w:numPr>
          <w:ilvl w:val="0"/>
          <w:numId w:val="0"/>
        </w:numPr>
        <w:ind w:left="0" w:leftChars="0" w:firstLine="640" w:firstLineChars="200"/>
        <w:jc w:val="both"/>
        <w:rPr>
          <w:rFonts w:hint="eastAsia" w:ascii="仿宋_GB2312" w:hAnsi="宋体" w:eastAsia="仿宋_GB2312" w:cs="仿宋_GB2312"/>
          <w:i w:val="0"/>
          <w:iCs w:val="0"/>
          <w:caps w:val="0"/>
          <w:color w:val="000000"/>
          <w:spacing w:val="0"/>
          <w:sz w:val="32"/>
          <w:szCs w:val="32"/>
        </w:rPr>
      </w:pPr>
      <w:r>
        <w:rPr>
          <w:rFonts w:hint="eastAsia" w:ascii="仿宋_GB2312" w:hAnsi="宋体" w:eastAsia="仿宋_GB2312" w:cs="仿宋_GB2312"/>
          <w:i w:val="0"/>
          <w:iCs w:val="0"/>
          <w:caps w:val="0"/>
          <w:color w:val="000000"/>
          <w:spacing w:val="0"/>
          <w:sz w:val="32"/>
          <w:szCs w:val="32"/>
        </w:rPr>
        <w:t>严格落实政府信息管理制度，健全动态调整机制；深化集成发布与保密审查，确保信息安全规范；注重管理利用效能，全面提升政务公开</w:t>
      </w:r>
      <w:r>
        <w:rPr>
          <w:rFonts w:ascii="仿宋_GB2312" w:hAnsi="宋体" w:eastAsia="仿宋_GB2312" w:cs="仿宋_GB2312"/>
          <w:i w:val="0"/>
          <w:iCs w:val="0"/>
          <w:caps w:val="0"/>
          <w:color w:val="000000"/>
          <w:spacing w:val="0"/>
          <w:sz w:val="32"/>
          <w:szCs w:val="32"/>
        </w:rPr>
        <w:t>质效</w:t>
      </w:r>
      <w:r>
        <w:rPr>
          <w:rFonts w:hint="eastAsia" w:ascii="仿宋_GB2312" w:hAnsi="宋体" w:eastAsia="仿宋_GB2312" w:cs="仿宋_GB2312"/>
          <w:i w:val="0"/>
          <w:iCs w:val="0"/>
          <w:caps w:val="0"/>
          <w:color w:val="000000"/>
          <w:spacing w:val="0"/>
          <w:sz w:val="32"/>
          <w:szCs w:val="32"/>
        </w:rPr>
        <w:t>，保障公众知情权与监督权。</w:t>
      </w:r>
    </w:p>
    <w:p w14:paraId="45536DF2">
      <w:pPr>
        <w:widowControl w:val="0"/>
        <w:numPr>
          <w:ilvl w:val="0"/>
          <w:numId w:val="0"/>
        </w:numPr>
        <w:ind w:left="0" w:leftChars="0" w:firstLine="643" w:firstLineChars="200"/>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（四）</w:t>
      </w:r>
      <w:r>
        <w:rPr>
          <w:rFonts w:hint="eastAsia" w:ascii="楷体_GB2312" w:hAnsi="楷体_GB2312" w:eastAsia="楷体_GB2312" w:cs="楷体_GB2312"/>
          <w:b/>
          <w:bCs/>
          <w:color w:val="auto"/>
          <w:sz w:val="32"/>
          <w:szCs w:val="32"/>
          <w:lang w:val="en-US" w:eastAsia="zh-CN"/>
        </w:rPr>
        <w:t>政府信息公开平台建设</w:t>
      </w:r>
    </w:p>
    <w:p w14:paraId="521C3D31">
      <w:pPr>
        <w:widowControl w:val="0"/>
        <w:numPr>
          <w:ilvl w:val="0"/>
          <w:numId w:val="0"/>
        </w:numPr>
        <w:ind w:left="0" w:leftChars="0" w:firstLine="640" w:firstLineChars="200"/>
        <w:jc w:val="both"/>
        <w:rPr>
          <w:rFonts w:hint="default" w:ascii="仿宋_GB2312" w:hAnsi="宋体" w:eastAsia="仿宋_GB2312" w:cs="仿宋_GB2312"/>
          <w:i w:val="0"/>
          <w:iCs w:val="0"/>
          <w:caps w:val="0"/>
          <w:color w:val="000000"/>
          <w:spacing w:val="0"/>
          <w:sz w:val="32"/>
          <w:szCs w:val="32"/>
          <w:lang w:val="en-US" w:eastAsia="zh-CN"/>
        </w:rPr>
      </w:pPr>
      <w:r>
        <w:rPr>
          <w:rFonts w:hint="eastAsia" w:ascii="仿宋_GB2312" w:hAnsi="宋体" w:eastAsia="仿宋_GB2312" w:cs="仿宋_GB2312"/>
          <w:i w:val="0"/>
          <w:iCs w:val="0"/>
          <w:caps w:val="0"/>
          <w:color w:val="000000"/>
          <w:spacing w:val="0"/>
          <w:sz w:val="32"/>
          <w:szCs w:val="32"/>
          <w:lang w:val="en-US" w:eastAsia="zh-CN"/>
        </w:rPr>
        <w:t>2025</w:t>
      </w:r>
      <w:r>
        <w:rPr>
          <w:rFonts w:hint="default" w:ascii="仿宋_GB2312" w:hAnsi="宋体" w:eastAsia="仿宋_GB2312" w:cs="仿宋_GB2312"/>
          <w:i w:val="0"/>
          <w:iCs w:val="0"/>
          <w:caps w:val="0"/>
          <w:color w:val="000000"/>
          <w:spacing w:val="0"/>
          <w:sz w:val="32"/>
          <w:szCs w:val="32"/>
          <w:lang w:val="en-US" w:eastAsia="zh-CN"/>
        </w:rPr>
        <w:t>年，我</w:t>
      </w:r>
      <w:r>
        <w:rPr>
          <w:rFonts w:hint="eastAsia" w:ascii="仿宋_GB2312" w:hAnsi="宋体" w:eastAsia="仿宋_GB2312" w:cs="仿宋_GB2312"/>
          <w:i w:val="0"/>
          <w:iCs w:val="0"/>
          <w:caps w:val="0"/>
          <w:color w:val="000000"/>
          <w:spacing w:val="0"/>
          <w:sz w:val="32"/>
          <w:szCs w:val="32"/>
          <w:lang w:val="en-US" w:eastAsia="zh-CN"/>
        </w:rPr>
        <w:t>街道</w:t>
      </w:r>
      <w:r>
        <w:rPr>
          <w:rFonts w:hint="default" w:ascii="仿宋_GB2312" w:hAnsi="宋体" w:eastAsia="仿宋_GB2312" w:cs="仿宋_GB2312"/>
          <w:i w:val="0"/>
          <w:iCs w:val="0"/>
          <w:caps w:val="0"/>
          <w:color w:val="000000"/>
          <w:spacing w:val="0"/>
          <w:sz w:val="32"/>
          <w:szCs w:val="32"/>
          <w:lang w:val="en-US" w:eastAsia="zh-CN"/>
        </w:rPr>
        <w:t>高度重视政务公开平台建设，多措并举提升服务质效。一是夯实网络阵地。对政府网站进行集约化升级，优化“政府信息公开”专栏，确保政策发布权威、更新及时；规范政务新媒体运营，强化内容审核与互动回应，打造指尖上的服务窗口。二是完善线下渠道</w:t>
      </w:r>
      <w:r>
        <w:rPr>
          <w:rFonts w:hint="eastAsia" w:ascii="仿宋_GB2312" w:hAnsi="宋体" w:eastAsia="仿宋_GB2312" w:cs="仿宋_GB2312"/>
          <w:i w:val="0"/>
          <w:iCs w:val="0"/>
          <w:caps w:val="0"/>
          <w:color w:val="000000"/>
          <w:spacing w:val="0"/>
          <w:sz w:val="32"/>
          <w:szCs w:val="32"/>
          <w:lang w:val="en-US" w:eastAsia="zh-CN"/>
        </w:rPr>
        <w:t>，</w:t>
      </w:r>
      <w:r>
        <w:rPr>
          <w:rFonts w:hint="eastAsia" w:ascii="仿宋_GB2312" w:hAnsi="宋体" w:eastAsia="仿宋_GB2312" w:cs="仿宋_GB2312"/>
          <w:i w:val="0"/>
          <w:iCs w:val="0"/>
          <w:caps w:val="0"/>
          <w:color w:val="000000"/>
          <w:spacing w:val="0"/>
          <w:sz w:val="32"/>
          <w:szCs w:val="32"/>
        </w:rPr>
        <w:t>促进政府信息的传播，同时增强与民众的互动交流。</w:t>
      </w:r>
    </w:p>
    <w:p w14:paraId="28828390">
      <w:pPr>
        <w:widowControl w:val="0"/>
        <w:numPr>
          <w:ilvl w:val="0"/>
          <w:numId w:val="0"/>
        </w:numPr>
        <w:ind w:firstLine="643" w:firstLineChars="200"/>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（五）</w:t>
      </w:r>
      <w:r>
        <w:rPr>
          <w:rFonts w:hint="eastAsia" w:ascii="楷体_GB2312" w:hAnsi="楷体_GB2312" w:eastAsia="楷体_GB2312" w:cs="楷体_GB2312"/>
          <w:b/>
          <w:bCs/>
          <w:color w:val="auto"/>
          <w:sz w:val="32"/>
          <w:szCs w:val="32"/>
          <w:lang w:val="en-US" w:eastAsia="zh-CN"/>
        </w:rPr>
        <w:t>监督保障</w:t>
      </w:r>
    </w:p>
    <w:p w14:paraId="19578D46">
      <w:pPr>
        <w:widowControl w:val="0"/>
        <w:numPr>
          <w:ilvl w:val="0"/>
          <w:numId w:val="0"/>
        </w:numPr>
        <w:ind w:firstLine="640" w:firstLineChars="200"/>
        <w:jc w:val="both"/>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我</w:t>
      </w:r>
      <w:r>
        <w:rPr>
          <w:rFonts w:hint="default" w:ascii="仿宋_GB2312" w:hAnsi="仿宋_GB2312" w:eastAsia="仿宋_GB2312" w:cs="仿宋_GB2312"/>
          <w:b w:val="0"/>
          <w:bCs w:val="0"/>
          <w:color w:val="auto"/>
          <w:sz w:val="32"/>
          <w:szCs w:val="32"/>
          <w:lang w:val="en-US" w:eastAsia="zh-CN"/>
        </w:rPr>
        <w:t>街道高度重视政务公开监督指导工作，强化组织保障，明确专人负责，确保工作扎实推进。建立健全培训考核机制，将政务公开纳入年度绩效考核体系，定期开展业务培训与经验交流，提升工作人员履职能力。严格落实责任追究制度，对公开不及时、不到位的情况严肃问责，确保政府信息公开工作规范高效运行。</w:t>
      </w:r>
    </w:p>
    <w:p w14:paraId="0CAB2F89">
      <w:pPr>
        <w:widowControl w:val="0"/>
        <w:numPr>
          <w:ilvl w:val="0"/>
          <w:numId w:val="0"/>
        </w:numPr>
        <w:ind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二、主动公开政府信息情况</w:t>
      </w:r>
    </w:p>
    <w:tbl>
      <w:tblPr>
        <w:tblStyle w:val="4"/>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76E5B017">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400FFF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570C9B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CE2C69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15BB58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5D757C2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4C1AA34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1E3F392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B68688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36E24D5A">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78C367A5">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E2EFFB0">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80A31B6">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3B9847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5798547C">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A1C7565">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E8DDBEF">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460032EC">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F79A1B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4EBB482A">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2E88A1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9F913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7C0B7B0">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1BFBD7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233773F9">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59D20D55">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AE7773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79DB783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CCA28E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DF78A5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A0E3F0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845A41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53C107C2">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73FCEF6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85CD82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2B12E7C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2B4C4927">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DFE285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2D765C7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494C5C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982FD4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627D35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EA47DB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11DE7F81">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1CC0F3E2">
      <w:pPr>
        <w:widowControl w:val="0"/>
        <w:numPr>
          <w:ilvl w:val="0"/>
          <w:numId w:val="0"/>
        </w:numPr>
        <w:ind w:firstLine="640" w:firstLineChars="200"/>
        <w:jc w:val="both"/>
        <w:rPr>
          <w:rFonts w:hint="default" w:ascii="仿宋_GB2312" w:hAnsi="仿宋_GB2312" w:eastAsia="仿宋_GB2312" w:cs="仿宋_GB2312"/>
          <w:b w:val="0"/>
          <w:bCs w:val="0"/>
          <w:color w:val="auto"/>
          <w:sz w:val="32"/>
          <w:szCs w:val="32"/>
          <w:lang w:val="en-US" w:eastAsia="zh-CN"/>
        </w:rPr>
      </w:pPr>
    </w:p>
    <w:p w14:paraId="671944E8">
      <w:pPr>
        <w:pStyle w:val="3"/>
        <w:numPr>
          <w:ilvl w:val="0"/>
          <w:numId w:val="1"/>
        </w:numPr>
        <w:ind w:left="0" w:leftChars="0" w:firstLine="640" w:firstLineChars="200"/>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收到和处理政府信息公开申请情况</w:t>
      </w:r>
    </w:p>
    <w:p w14:paraId="2A24DC52">
      <w:pPr>
        <w:rPr>
          <w:rFonts w:hint="eastAsia"/>
        </w:rPr>
      </w:pP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8C6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7ECBF8E9">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5DC90E1A">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0C2034B6">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03208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40307210">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14ECA9D4">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3C6F1AEE">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4363B010">
            <w:pPr>
              <w:widowControl/>
              <w:jc w:val="center"/>
              <w:rPr>
                <w:rFonts w:ascii="黑体" w:hAnsi="黑体" w:eastAsia="黑体"/>
                <w:szCs w:val="21"/>
              </w:rPr>
            </w:pPr>
            <w:r>
              <w:rPr>
                <w:rFonts w:hint="eastAsia" w:ascii="黑体" w:hAnsi="黑体" w:eastAsia="黑体"/>
                <w:kern w:val="0"/>
                <w:szCs w:val="21"/>
              </w:rPr>
              <w:t>总计</w:t>
            </w:r>
          </w:p>
        </w:tc>
      </w:tr>
      <w:tr w14:paraId="0A40C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321D88F1">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7AA00BA1">
            <w:pPr>
              <w:jc w:val="center"/>
              <w:rPr>
                <w:rFonts w:ascii="黑体" w:hAnsi="黑体" w:eastAsia="黑体"/>
                <w:szCs w:val="21"/>
              </w:rPr>
            </w:pPr>
          </w:p>
        </w:tc>
        <w:tc>
          <w:tcPr>
            <w:tcW w:w="567" w:type="dxa"/>
            <w:noWrap w:val="0"/>
            <w:tcMar>
              <w:left w:w="108" w:type="dxa"/>
              <w:right w:w="108" w:type="dxa"/>
            </w:tcMar>
            <w:vAlign w:val="center"/>
          </w:tcPr>
          <w:p w14:paraId="3386B572">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7B837103">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0316D243">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42E7BBE0">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6EC863AF">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61B2178B">
            <w:pPr>
              <w:jc w:val="center"/>
              <w:rPr>
                <w:rFonts w:ascii="仿宋_GB2312" w:hAnsi="Times New Roman" w:eastAsia="仿宋_GB2312"/>
                <w:szCs w:val="21"/>
              </w:rPr>
            </w:pPr>
          </w:p>
        </w:tc>
      </w:tr>
      <w:tr w14:paraId="004E6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5093" w:type="dxa"/>
            <w:gridSpan w:val="3"/>
            <w:noWrap w:val="0"/>
            <w:tcMar>
              <w:left w:w="108" w:type="dxa"/>
              <w:right w:w="108" w:type="dxa"/>
            </w:tcMar>
            <w:vAlign w:val="center"/>
          </w:tcPr>
          <w:p w14:paraId="621B97C5">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27A2B67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9</w:t>
            </w:r>
          </w:p>
        </w:tc>
        <w:tc>
          <w:tcPr>
            <w:tcW w:w="567" w:type="dxa"/>
            <w:noWrap w:val="0"/>
            <w:tcMar>
              <w:left w:w="108" w:type="dxa"/>
              <w:right w:w="108" w:type="dxa"/>
            </w:tcMar>
            <w:vAlign w:val="center"/>
          </w:tcPr>
          <w:p w14:paraId="24A899B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EEB84D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B0410D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F54E36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C8E5F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A7AAE6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9</w:t>
            </w:r>
          </w:p>
        </w:tc>
      </w:tr>
      <w:tr w14:paraId="3AF70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5385DCD">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254DD6E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AE6408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1425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ED9206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386BBE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FAFB9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9E5FA0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31E7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FC9422E">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514D23F4">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6160ECFD">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14:paraId="0A5587B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88DF7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3DF71A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EF8027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20D56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88D80D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253C9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D6D69B4">
            <w:pPr>
              <w:rPr>
                <w:rFonts w:ascii="黑体" w:hAnsi="黑体" w:eastAsia="黑体"/>
                <w:szCs w:val="21"/>
              </w:rPr>
            </w:pPr>
          </w:p>
        </w:tc>
        <w:tc>
          <w:tcPr>
            <w:tcW w:w="4677" w:type="dxa"/>
            <w:gridSpan w:val="2"/>
            <w:noWrap w:val="0"/>
            <w:tcMar>
              <w:left w:w="108" w:type="dxa"/>
              <w:right w:w="108" w:type="dxa"/>
            </w:tcMar>
            <w:vAlign w:val="center"/>
          </w:tcPr>
          <w:p w14:paraId="301AC07C">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6E6ECBE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c>
          <w:tcPr>
            <w:tcW w:w="567" w:type="dxa"/>
            <w:noWrap w:val="0"/>
            <w:tcMar>
              <w:left w:w="108" w:type="dxa"/>
              <w:right w:w="108" w:type="dxa"/>
            </w:tcMar>
            <w:vAlign w:val="center"/>
          </w:tcPr>
          <w:p w14:paraId="7706967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966169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43F910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DFB938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847D4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151FA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r>
      <w:tr w14:paraId="191E0E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9C30310">
            <w:pPr>
              <w:rPr>
                <w:rFonts w:ascii="黑体" w:hAnsi="黑体" w:eastAsia="黑体"/>
                <w:szCs w:val="21"/>
              </w:rPr>
            </w:pPr>
          </w:p>
        </w:tc>
        <w:tc>
          <w:tcPr>
            <w:tcW w:w="1701" w:type="dxa"/>
            <w:vMerge w:val="restart"/>
            <w:noWrap w:val="0"/>
            <w:tcMar>
              <w:left w:w="108" w:type="dxa"/>
              <w:right w:w="108" w:type="dxa"/>
            </w:tcMar>
            <w:vAlign w:val="center"/>
          </w:tcPr>
          <w:p w14:paraId="61AC90D3">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2CAF1B89">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0AE42D5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EF93F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88C43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E64A52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5886AC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1E7D3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C6BFA5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6F57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E25A8AC">
            <w:pPr>
              <w:rPr>
                <w:rFonts w:ascii="黑体" w:hAnsi="黑体" w:eastAsia="黑体"/>
                <w:szCs w:val="21"/>
              </w:rPr>
            </w:pPr>
          </w:p>
        </w:tc>
        <w:tc>
          <w:tcPr>
            <w:tcW w:w="1701" w:type="dxa"/>
            <w:vMerge w:val="continue"/>
            <w:noWrap w:val="0"/>
            <w:tcMar>
              <w:left w:w="108" w:type="dxa"/>
              <w:right w:w="108" w:type="dxa"/>
            </w:tcMar>
            <w:vAlign w:val="center"/>
          </w:tcPr>
          <w:p w14:paraId="7DC5B310">
            <w:pPr>
              <w:spacing w:line="200" w:lineRule="exact"/>
              <w:rPr>
                <w:rFonts w:ascii="黑体" w:hAnsi="黑体" w:eastAsia="黑体"/>
                <w:szCs w:val="21"/>
              </w:rPr>
            </w:pPr>
          </w:p>
        </w:tc>
        <w:tc>
          <w:tcPr>
            <w:tcW w:w="2976" w:type="dxa"/>
            <w:noWrap w:val="0"/>
            <w:tcMar>
              <w:left w:w="108" w:type="dxa"/>
              <w:right w:w="108" w:type="dxa"/>
            </w:tcMar>
            <w:vAlign w:val="center"/>
          </w:tcPr>
          <w:p w14:paraId="5C403CBC">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1AEDD04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C62E0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22877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FCC213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3EAA1C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2DED28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B6336E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4B1D0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B0878A8">
            <w:pPr>
              <w:rPr>
                <w:rFonts w:ascii="黑体" w:hAnsi="黑体" w:eastAsia="黑体"/>
                <w:szCs w:val="21"/>
              </w:rPr>
            </w:pPr>
          </w:p>
        </w:tc>
        <w:tc>
          <w:tcPr>
            <w:tcW w:w="1701" w:type="dxa"/>
            <w:vMerge w:val="continue"/>
            <w:noWrap w:val="0"/>
            <w:tcMar>
              <w:left w:w="108" w:type="dxa"/>
              <w:right w:w="108" w:type="dxa"/>
            </w:tcMar>
            <w:vAlign w:val="center"/>
          </w:tcPr>
          <w:p w14:paraId="5B7AE03C">
            <w:pPr>
              <w:spacing w:line="200" w:lineRule="exact"/>
              <w:rPr>
                <w:rFonts w:ascii="黑体" w:hAnsi="黑体" w:eastAsia="黑体"/>
                <w:szCs w:val="21"/>
              </w:rPr>
            </w:pPr>
          </w:p>
        </w:tc>
        <w:tc>
          <w:tcPr>
            <w:tcW w:w="2976" w:type="dxa"/>
            <w:noWrap w:val="0"/>
            <w:tcMar>
              <w:left w:w="108" w:type="dxa"/>
              <w:right w:w="108" w:type="dxa"/>
            </w:tcMar>
            <w:vAlign w:val="center"/>
          </w:tcPr>
          <w:p w14:paraId="626C94BB">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03747A4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D51C3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5A12C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BA5309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09EB53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EBEB74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B3C4A2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2A39A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DBDE2D6">
            <w:pPr>
              <w:rPr>
                <w:rFonts w:ascii="黑体" w:hAnsi="黑体" w:eastAsia="黑体"/>
                <w:szCs w:val="21"/>
              </w:rPr>
            </w:pPr>
          </w:p>
        </w:tc>
        <w:tc>
          <w:tcPr>
            <w:tcW w:w="1701" w:type="dxa"/>
            <w:vMerge w:val="continue"/>
            <w:noWrap w:val="0"/>
            <w:tcMar>
              <w:left w:w="108" w:type="dxa"/>
              <w:right w:w="108" w:type="dxa"/>
            </w:tcMar>
            <w:vAlign w:val="center"/>
          </w:tcPr>
          <w:p w14:paraId="7EF8E060">
            <w:pPr>
              <w:spacing w:line="200" w:lineRule="exact"/>
              <w:rPr>
                <w:rFonts w:ascii="黑体" w:hAnsi="黑体" w:eastAsia="黑体"/>
                <w:szCs w:val="21"/>
              </w:rPr>
            </w:pPr>
          </w:p>
        </w:tc>
        <w:tc>
          <w:tcPr>
            <w:tcW w:w="2976" w:type="dxa"/>
            <w:noWrap w:val="0"/>
            <w:tcMar>
              <w:left w:w="108" w:type="dxa"/>
              <w:right w:w="108" w:type="dxa"/>
            </w:tcMar>
            <w:vAlign w:val="center"/>
          </w:tcPr>
          <w:p w14:paraId="372A8840">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6B69F3B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09EBC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0F4712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CE8CCE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3A90CD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95F6CC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408EBF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3ECF9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79FEC45">
            <w:pPr>
              <w:rPr>
                <w:rFonts w:ascii="黑体" w:hAnsi="黑体" w:eastAsia="黑体"/>
                <w:szCs w:val="21"/>
              </w:rPr>
            </w:pPr>
          </w:p>
        </w:tc>
        <w:tc>
          <w:tcPr>
            <w:tcW w:w="1701" w:type="dxa"/>
            <w:vMerge w:val="continue"/>
            <w:noWrap w:val="0"/>
            <w:tcMar>
              <w:left w:w="108" w:type="dxa"/>
              <w:right w:w="108" w:type="dxa"/>
            </w:tcMar>
            <w:vAlign w:val="center"/>
          </w:tcPr>
          <w:p w14:paraId="051AE959">
            <w:pPr>
              <w:spacing w:line="200" w:lineRule="exact"/>
              <w:rPr>
                <w:rFonts w:ascii="黑体" w:hAnsi="黑体" w:eastAsia="黑体"/>
                <w:szCs w:val="21"/>
              </w:rPr>
            </w:pPr>
          </w:p>
        </w:tc>
        <w:tc>
          <w:tcPr>
            <w:tcW w:w="2976" w:type="dxa"/>
            <w:noWrap w:val="0"/>
            <w:tcMar>
              <w:left w:w="108" w:type="dxa"/>
              <w:right w:w="108" w:type="dxa"/>
            </w:tcMar>
            <w:vAlign w:val="center"/>
          </w:tcPr>
          <w:p w14:paraId="4D40E88E">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2D58B41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0D4BE9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6CDEB8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0942BF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4208AB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CA454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A684D1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6210F8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DEAAD16">
            <w:pPr>
              <w:rPr>
                <w:rFonts w:ascii="黑体" w:hAnsi="黑体" w:eastAsia="黑体"/>
                <w:szCs w:val="21"/>
              </w:rPr>
            </w:pPr>
          </w:p>
        </w:tc>
        <w:tc>
          <w:tcPr>
            <w:tcW w:w="1701" w:type="dxa"/>
            <w:vMerge w:val="continue"/>
            <w:noWrap w:val="0"/>
            <w:tcMar>
              <w:left w:w="108" w:type="dxa"/>
              <w:right w:w="108" w:type="dxa"/>
            </w:tcMar>
            <w:vAlign w:val="center"/>
          </w:tcPr>
          <w:p w14:paraId="129C0E1B">
            <w:pPr>
              <w:spacing w:line="200" w:lineRule="exact"/>
              <w:rPr>
                <w:rFonts w:ascii="黑体" w:hAnsi="黑体" w:eastAsia="黑体"/>
                <w:szCs w:val="21"/>
              </w:rPr>
            </w:pPr>
          </w:p>
        </w:tc>
        <w:tc>
          <w:tcPr>
            <w:tcW w:w="2976" w:type="dxa"/>
            <w:noWrap w:val="0"/>
            <w:tcMar>
              <w:left w:w="108" w:type="dxa"/>
              <w:right w:w="108" w:type="dxa"/>
            </w:tcMar>
            <w:vAlign w:val="center"/>
          </w:tcPr>
          <w:p w14:paraId="5B3A5BD8">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357CB5F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30D8D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D206AA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02759A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475402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E2374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AA38E7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6623B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036CB03">
            <w:pPr>
              <w:rPr>
                <w:rFonts w:ascii="黑体" w:hAnsi="黑体" w:eastAsia="黑体"/>
                <w:szCs w:val="21"/>
              </w:rPr>
            </w:pPr>
          </w:p>
        </w:tc>
        <w:tc>
          <w:tcPr>
            <w:tcW w:w="1701" w:type="dxa"/>
            <w:vMerge w:val="continue"/>
            <w:noWrap w:val="0"/>
            <w:tcMar>
              <w:left w:w="108" w:type="dxa"/>
              <w:right w:w="108" w:type="dxa"/>
            </w:tcMar>
            <w:vAlign w:val="center"/>
          </w:tcPr>
          <w:p w14:paraId="072BA032">
            <w:pPr>
              <w:spacing w:line="200" w:lineRule="exact"/>
              <w:rPr>
                <w:rFonts w:ascii="黑体" w:hAnsi="黑体" w:eastAsia="黑体"/>
                <w:szCs w:val="21"/>
              </w:rPr>
            </w:pPr>
          </w:p>
        </w:tc>
        <w:tc>
          <w:tcPr>
            <w:tcW w:w="2976" w:type="dxa"/>
            <w:noWrap w:val="0"/>
            <w:tcMar>
              <w:left w:w="108" w:type="dxa"/>
              <w:right w:w="108" w:type="dxa"/>
            </w:tcMar>
            <w:vAlign w:val="center"/>
          </w:tcPr>
          <w:p w14:paraId="1A97515D">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22C730C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F2601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D6F5ED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63BA34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CA26FA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F3390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A8B64D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59AAE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C2A219E">
            <w:pPr>
              <w:rPr>
                <w:rFonts w:ascii="黑体" w:hAnsi="黑体" w:eastAsia="黑体"/>
                <w:szCs w:val="21"/>
              </w:rPr>
            </w:pPr>
          </w:p>
        </w:tc>
        <w:tc>
          <w:tcPr>
            <w:tcW w:w="1701" w:type="dxa"/>
            <w:vMerge w:val="continue"/>
            <w:noWrap w:val="0"/>
            <w:tcMar>
              <w:left w:w="108" w:type="dxa"/>
              <w:right w:w="108" w:type="dxa"/>
            </w:tcMar>
            <w:vAlign w:val="center"/>
          </w:tcPr>
          <w:p w14:paraId="203584C7">
            <w:pPr>
              <w:spacing w:line="200" w:lineRule="exact"/>
              <w:rPr>
                <w:rFonts w:ascii="黑体" w:hAnsi="黑体" w:eastAsia="黑体"/>
                <w:szCs w:val="21"/>
              </w:rPr>
            </w:pPr>
          </w:p>
        </w:tc>
        <w:tc>
          <w:tcPr>
            <w:tcW w:w="2976" w:type="dxa"/>
            <w:noWrap w:val="0"/>
            <w:tcMar>
              <w:left w:w="108" w:type="dxa"/>
              <w:right w:w="108" w:type="dxa"/>
            </w:tcMar>
            <w:vAlign w:val="center"/>
          </w:tcPr>
          <w:p w14:paraId="48E3D71D">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39CDA27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EAFA8D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1383B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D47ACA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637706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9F78C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6EEA8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0282B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8D8DDF0">
            <w:pPr>
              <w:rPr>
                <w:rFonts w:ascii="黑体" w:hAnsi="黑体" w:eastAsia="黑体"/>
                <w:szCs w:val="21"/>
              </w:rPr>
            </w:pPr>
          </w:p>
        </w:tc>
        <w:tc>
          <w:tcPr>
            <w:tcW w:w="1701" w:type="dxa"/>
            <w:vMerge w:val="restart"/>
            <w:noWrap w:val="0"/>
            <w:tcMar>
              <w:left w:w="108" w:type="dxa"/>
              <w:right w:w="108" w:type="dxa"/>
            </w:tcMar>
            <w:vAlign w:val="center"/>
          </w:tcPr>
          <w:p w14:paraId="12001637">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10B60B0C">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226F4DC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BC921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7DF7A0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044DD0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C922F6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A5EF79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ABB587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76E20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CE644E8">
            <w:pPr>
              <w:rPr>
                <w:rFonts w:ascii="黑体" w:hAnsi="黑体" w:eastAsia="黑体"/>
                <w:szCs w:val="21"/>
              </w:rPr>
            </w:pPr>
          </w:p>
        </w:tc>
        <w:tc>
          <w:tcPr>
            <w:tcW w:w="1701" w:type="dxa"/>
            <w:vMerge w:val="continue"/>
            <w:noWrap w:val="0"/>
            <w:tcMar>
              <w:left w:w="108" w:type="dxa"/>
              <w:right w:w="108" w:type="dxa"/>
            </w:tcMar>
            <w:vAlign w:val="center"/>
          </w:tcPr>
          <w:p w14:paraId="0BB639D1">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5EB0342A">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5127708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EE2744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23C57C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43A2F7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A9533D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58DD3A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096697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16B9C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506BE24">
            <w:pPr>
              <w:rPr>
                <w:rFonts w:ascii="黑体" w:hAnsi="黑体" w:eastAsia="黑体"/>
                <w:szCs w:val="21"/>
              </w:rPr>
            </w:pPr>
          </w:p>
        </w:tc>
        <w:tc>
          <w:tcPr>
            <w:tcW w:w="1701" w:type="dxa"/>
            <w:vMerge w:val="continue"/>
            <w:noWrap w:val="0"/>
            <w:tcMar>
              <w:left w:w="108" w:type="dxa"/>
              <w:right w:w="108" w:type="dxa"/>
            </w:tcMar>
            <w:vAlign w:val="center"/>
          </w:tcPr>
          <w:p w14:paraId="0E208903">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0134DB59">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0712F01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D53C06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7BA84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071660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321437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BD5B0D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5B61FF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4F6EC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B612CC3">
            <w:pPr>
              <w:rPr>
                <w:rFonts w:ascii="黑体" w:hAnsi="黑体" w:eastAsia="黑体"/>
                <w:szCs w:val="21"/>
              </w:rPr>
            </w:pPr>
          </w:p>
        </w:tc>
        <w:tc>
          <w:tcPr>
            <w:tcW w:w="1701" w:type="dxa"/>
            <w:vMerge w:val="restart"/>
            <w:noWrap w:val="0"/>
            <w:tcMar>
              <w:left w:w="108" w:type="dxa"/>
              <w:right w:w="108" w:type="dxa"/>
            </w:tcMar>
            <w:vAlign w:val="center"/>
          </w:tcPr>
          <w:p w14:paraId="6464E5A1">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0DDED38F">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22FFEE9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6059C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6AE10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3A5F10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6CC846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F2E2F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56EED7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10E2A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237B4BF">
            <w:pPr>
              <w:rPr>
                <w:rFonts w:ascii="黑体" w:hAnsi="黑体" w:eastAsia="黑体"/>
                <w:szCs w:val="21"/>
              </w:rPr>
            </w:pPr>
          </w:p>
        </w:tc>
        <w:tc>
          <w:tcPr>
            <w:tcW w:w="1701" w:type="dxa"/>
            <w:vMerge w:val="continue"/>
            <w:noWrap w:val="0"/>
            <w:tcMar>
              <w:left w:w="108" w:type="dxa"/>
              <w:right w:w="108" w:type="dxa"/>
            </w:tcMar>
            <w:vAlign w:val="center"/>
          </w:tcPr>
          <w:p w14:paraId="1C499DA7">
            <w:pPr>
              <w:spacing w:line="200" w:lineRule="exact"/>
              <w:rPr>
                <w:rFonts w:ascii="黑体" w:hAnsi="黑体" w:eastAsia="黑体"/>
                <w:szCs w:val="21"/>
              </w:rPr>
            </w:pPr>
          </w:p>
        </w:tc>
        <w:tc>
          <w:tcPr>
            <w:tcW w:w="2976" w:type="dxa"/>
            <w:noWrap w:val="0"/>
            <w:tcMar>
              <w:left w:w="108" w:type="dxa"/>
              <w:right w:w="108" w:type="dxa"/>
            </w:tcMar>
            <w:vAlign w:val="center"/>
          </w:tcPr>
          <w:p w14:paraId="39EBA803">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3D8BAF3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BEF302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18EBD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CBA624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C1FD24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DE28E0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E9F354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54825B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04BBFDC">
            <w:pPr>
              <w:rPr>
                <w:rFonts w:ascii="黑体" w:hAnsi="黑体" w:eastAsia="黑体"/>
                <w:szCs w:val="21"/>
              </w:rPr>
            </w:pPr>
          </w:p>
        </w:tc>
        <w:tc>
          <w:tcPr>
            <w:tcW w:w="1701" w:type="dxa"/>
            <w:vMerge w:val="continue"/>
            <w:noWrap w:val="0"/>
            <w:tcMar>
              <w:left w:w="108" w:type="dxa"/>
              <w:right w:w="108" w:type="dxa"/>
            </w:tcMar>
            <w:vAlign w:val="center"/>
          </w:tcPr>
          <w:p w14:paraId="017C2942">
            <w:pPr>
              <w:spacing w:line="200" w:lineRule="exact"/>
              <w:rPr>
                <w:rFonts w:ascii="黑体" w:hAnsi="黑体" w:eastAsia="黑体"/>
                <w:szCs w:val="21"/>
              </w:rPr>
            </w:pPr>
          </w:p>
        </w:tc>
        <w:tc>
          <w:tcPr>
            <w:tcW w:w="2976" w:type="dxa"/>
            <w:noWrap w:val="0"/>
            <w:tcMar>
              <w:left w:w="108" w:type="dxa"/>
              <w:right w:w="108" w:type="dxa"/>
            </w:tcMar>
            <w:vAlign w:val="center"/>
          </w:tcPr>
          <w:p w14:paraId="5040FBF6">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24EA637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E51B5C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094F44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03C706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31CA31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85EB14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BC83F1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0405E5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1C4D3E96">
            <w:pPr>
              <w:rPr>
                <w:rFonts w:ascii="黑体" w:hAnsi="黑体" w:eastAsia="黑体"/>
                <w:szCs w:val="21"/>
              </w:rPr>
            </w:pPr>
          </w:p>
        </w:tc>
        <w:tc>
          <w:tcPr>
            <w:tcW w:w="1701" w:type="dxa"/>
            <w:vMerge w:val="continue"/>
            <w:noWrap w:val="0"/>
            <w:tcMar>
              <w:left w:w="108" w:type="dxa"/>
              <w:right w:w="108" w:type="dxa"/>
            </w:tcMar>
            <w:vAlign w:val="center"/>
          </w:tcPr>
          <w:p w14:paraId="0BB6FDCC">
            <w:pPr>
              <w:spacing w:line="200" w:lineRule="exact"/>
              <w:rPr>
                <w:rFonts w:ascii="黑体" w:hAnsi="黑体" w:eastAsia="黑体"/>
                <w:szCs w:val="21"/>
              </w:rPr>
            </w:pPr>
          </w:p>
        </w:tc>
        <w:tc>
          <w:tcPr>
            <w:tcW w:w="2976" w:type="dxa"/>
            <w:noWrap w:val="0"/>
            <w:tcMar>
              <w:left w:w="108" w:type="dxa"/>
              <w:right w:w="108" w:type="dxa"/>
            </w:tcMar>
            <w:vAlign w:val="center"/>
          </w:tcPr>
          <w:p w14:paraId="37512B3F">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5D2D1DC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3C93C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2F035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77048C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F8583A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76A758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6E2F22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2F8AB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685DE2A">
            <w:pPr>
              <w:rPr>
                <w:rFonts w:ascii="黑体" w:hAnsi="黑体" w:eastAsia="黑体"/>
                <w:szCs w:val="21"/>
              </w:rPr>
            </w:pPr>
          </w:p>
        </w:tc>
        <w:tc>
          <w:tcPr>
            <w:tcW w:w="1701" w:type="dxa"/>
            <w:vMerge w:val="continue"/>
            <w:noWrap w:val="0"/>
            <w:tcMar>
              <w:left w:w="108" w:type="dxa"/>
              <w:right w:w="108" w:type="dxa"/>
            </w:tcMar>
            <w:vAlign w:val="center"/>
          </w:tcPr>
          <w:p w14:paraId="73082EF0">
            <w:pPr>
              <w:spacing w:line="200" w:lineRule="exact"/>
              <w:rPr>
                <w:rFonts w:ascii="黑体" w:hAnsi="黑体" w:eastAsia="黑体"/>
                <w:szCs w:val="21"/>
              </w:rPr>
            </w:pPr>
          </w:p>
        </w:tc>
        <w:tc>
          <w:tcPr>
            <w:tcW w:w="2976" w:type="dxa"/>
            <w:noWrap w:val="0"/>
            <w:tcMar>
              <w:left w:w="108" w:type="dxa"/>
              <w:right w:w="108" w:type="dxa"/>
            </w:tcMar>
            <w:vAlign w:val="center"/>
          </w:tcPr>
          <w:p w14:paraId="1B77BE05">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323A0D4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BE553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88292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4354FC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D74825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59422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571EC4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24CCA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80C406F">
            <w:pPr>
              <w:rPr>
                <w:rFonts w:ascii="黑体" w:hAnsi="黑体" w:eastAsia="黑体"/>
                <w:szCs w:val="21"/>
              </w:rPr>
            </w:pPr>
          </w:p>
        </w:tc>
        <w:tc>
          <w:tcPr>
            <w:tcW w:w="1701" w:type="dxa"/>
            <w:vMerge w:val="restart"/>
            <w:noWrap w:val="0"/>
            <w:tcMar>
              <w:left w:w="108" w:type="dxa"/>
              <w:right w:w="108" w:type="dxa"/>
            </w:tcMar>
            <w:vAlign w:val="center"/>
          </w:tcPr>
          <w:p w14:paraId="6EE79D24">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56FAAC8B">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4743441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BD9D21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E67B5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7652C3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270475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5EFD48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7EED2B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38398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83D184E">
            <w:pPr>
              <w:rPr>
                <w:rFonts w:ascii="黑体" w:hAnsi="黑体" w:eastAsia="黑体"/>
                <w:szCs w:val="21"/>
              </w:rPr>
            </w:pPr>
          </w:p>
        </w:tc>
        <w:tc>
          <w:tcPr>
            <w:tcW w:w="1701" w:type="dxa"/>
            <w:vMerge w:val="continue"/>
            <w:noWrap w:val="0"/>
            <w:tcMar>
              <w:left w:w="108" w:type="dxa"/>
              <w:right w:w="108" w:type="dxa"/>
            </w:tcMar>
            <w:vAlign w:val="center"/>
          </w:tcPr>
          <w:p w14:paraId="682850CE">
            <w:pPr>
              <w:widowControl/>
              <w:spacing w:line="300" w:lineRule="exact"/>
              <w:rPr>
                <w:rFonts w:ascii="黑体" w:hAnsi="黑体" w:eastAsia="黑体"/>
                <w:kern w:val="0"/>
                <w:szCs w:val="21"/>
              </w:rPr>
            </w:pPr>
          </w:p>
        </w:tc>
        <w:tc>
          <w:tcPr>
            <w:tcW w:w="2976" w:type="dxa"/>
            <w:noWrap w:val="0"/>
            <w:vAlign w:val="center"/>
          </w:tcPr>
          <w:p w14:paraId="232E6C46">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7FEAED1F">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9BAB7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50DF3E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FE5FBB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BEAD7D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4390FC">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B9534E9">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14:paraId="180631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1EE6592">
            <w:pPr>
              <w:rPr>
                <w:rFonts w:ascii="黑体" w:hAnsi="黑体" w:eastAsia="黑体"/>
                <w:szCs w:val="21"/>
              </w:rPr>
            </w:pPr>
          </w:p>
        </w:tc>
        <w:tc>
          <w:tcPr>
            <w:tcW w:w="1701" w:type="dxa"/>
            <w:vMerge w:val="continue"/>
            <w:noWrap w:val="0"/>
            <w:tcMar>
              <w:left w:w="108" w:type="dxa"/>
              <w:right w:w="108" w:type="dxa"/>
            </w:tcMar>
            <w:vAlign w:val="center"/>
          </w:tcPr>
          <w:p w14:paraId="03A75247">
            <w:pPr>
              <w:widowControl/>
              <w:spacing w:line="300" w:lineRule="exact"/>
              <w:rPr>
                <w:rFonts w:ascii="黑体" w:hAnsi="黑体" w:eastAsia="黑体"/>
                <w:kern w:val="0"/>
                <w:szCs w:val="21"/>
              </w:rPr>
            </w:pPr>
          </w:p>
        </w:tc>
        <w:tc>
          <w:tcPr>
            <w:tcW w:w="2976" w:type="dxa"/>
            <w:noWrap w:val="0"/>
            <w:vAlign w:val="center"/>
          </w:tcPr>
          <w:p w14:paraId="75958F21">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1498E91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32C2B02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5234F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803742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16E888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CB3288">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0556855">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1</w:t>
            </w:r>
          </w:p>
        </w:tc>
      </w:tr>
      <w:tr w14:paraId="216FFC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767375D">
            <w:pPr>
              <w:rPr>
                <w:rFonts w:ascii="黑体" w:hAnsi="黑体" w:eastAsia="黑体"/>
                <w:szCs w:val="21"/>
              </w:rPr>
            </w:pPr>
          </w:p>
        </w:tc>
        <w:tc>
          <w:tcPr>
            <w:tcW w:w="4677" w:type="dxa"/>
            <w:gridSpan w:val="2"/>
            <w:noWrap w:val="0"/>
            <w:tcMar>
              <w:left w:w="108" w:type="dxa"/>
              <w:right w:w="108" w:type="dxa"/>
            </w:tcMar>
            <w:vAlign w:val="center"/>
          </w:tcPr>
          <w:p w14:paraId="11B41403">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134B411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8</w:t>
            </w:r>
          </w:p>
        </w:tc>
        <w:tc>
          <w:tcPr>
            <w:tcW w:w="567" w:type="dxa"/>
            <w:noWrap w:val="0"/>
            <w:tcMar>
              <w:left w:w="108" w:type="dxa"/>
              <w:right w:w="108" w:type="dxa"/>
            </w:tcMar>
            <w:vAlign w:val="center"/>
          </w:tcPr>
          <w:p w14:paraId="39BBD09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1D0630E">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B6FF4E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C7360CA">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50139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480832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8</w:t>
            </w:r>
          </w:p>
        </w:tc>
      </w:tr>
      <w:tr w14:paraId="3FBF2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7DFA1433">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5A66312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47889BE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9C62B0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2FCB5F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88F5D94">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3BF0F8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655445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bl>
    <w:p w14:paraId="76A3B033">
      <w:pPr>
        <w:ind w:firstLine="640" w:firstLineChars="200"/>
        <w:jc w:val="left"/>
        <w:rPr>
          <w:rFonts w:hint="eastAsia" w:ascii="CESI黑体-GB2312" w:hAnsi="CESI黑体-GB2312" w:eastAsia="CESI黑体-GB2312" w:cs="CESI黑体-GB2312"/>
          <w:sz w:val="32"/>
          <w:szCs w:val="32"/>
          <w:lang w:eastAsia="zh-CN"/>
        </w:rPr>
      </w:pPr>
    </w:p>
    <w:p w14:paraId="245249AA">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7FFB3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BC7D2E">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61695EC">
            <w:pPr>
              <w:widowControl/>
              <w:jc w:val="center"/>
              <w:rPr>
                <w:rFonts w:ascii="黑体" w:hAnsi="黑体" w:eastAsia="黑体"/>
              </w:rPr>
            </w:pPr>
            <w:r>
              <w:rPr>
                <w:rFonts w:ascii="黑体" w:hAnsi="黑体" w:eastAsia="黑体"/>
                <w:kern w:val="0"/>
                <w:sz w:val="20"/>
                <w:szCs w:val="20"/>
              </w:rPr>
              <w:t>行政诉讼</w:t>
            </w:r>
          </w:p>
        </w:tc>
      </w:tr>
      <w:tr w14:paraId="72806C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18587CE">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59546F96">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85DBB98">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3490192">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BF9640B">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2E6133E5">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6BF7CB4">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3A54F663">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33BCE0E">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10DB8BE">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4B5664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B69EC11">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3D673B5C">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29645D6">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43B16F1">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38A3AF2">
            <w:pPr>
              <w:rPr>
                <w:rFonts w:ascii="黑体" w:hAnsi="黑体" w:eastAsia="黑体"/>
                <w:sz w:val="24"/>
              </w:rPr>
            </w:pPr>
          </w:p>
        </w:tc>
        <w:tc>
          <w:tcPr>
            <w:tcW w:w="550" w:type="dxa"/>
            <w:tcBorders>
              <w:top w:val="single" w:color="auto" w:sz="4" w:space="0"/>
              <w:left w:val="nil"/>
              <w:bottom w:val="single" w:color="auto" w:sz="8" w:space="0"/>
              <w:right w:val="single" w:color="auto" w:sz="8" w:space="0"/>
            </w:tcBorders>
            <w:noWrap w:val="0"/>
            <w:tcMar>
              <w:left w:w="108" w:type="dxa"/>
              <w:right w:w="108" w:type="dxa"/>
            </w:tcMar>
            <w:vAlign w:val="center"/>
          </w:tcPr>
          <w:p w14:paraId="2B4F303A">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68127EDA">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6326734">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61A76506">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9653CA9">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173B4220">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F70C2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69FB756">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C40AEDB">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47AA8FC">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18EDAE6">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4831CF2B">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31263E7">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7DECE92">
            <w:pPr>
              <w:widowControl/>
              <w:jc w:val="center"/>
              <w:rPr>
                <w:rFonts w:ascii="黑体" w:hAnsi="黑体" w:eastAsia="黑体"/>
              </w:rPr>
            </w:pPr>
            <w:r>
              <w:rPr>
                <w:rFonts w:ascii="黑体" w:hAnsi="黑体" w:eastAsia="黑体"/>
                <w:kern w:val="0"/>
                <w:sz w:val="20"/>
                <w:szCs w:val="20"/>
              </w:rPr>
              <w:t>总计</w:t>
            </w:r>
          </w:p>
        </w:tc>
      </w:tr>
      <w:tr w14:paraId="5D775E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062545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10742F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7C52506">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FFD315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760CCE73">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1</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1C5C03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05F870B">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8BF176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E61FF20">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FD74A8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B1C689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1E50117">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3BA80D2">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19027ED">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6242BC1">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bl>
    <w:p w14:paraId="6F5ADBCC">
      <w:pPr>
        <w:numPr>
          <w:ilvl w:val="0"/>
          <w:numId w:val="0"/>
        </w:numPr>
        <w:ind w:leftChars="200"/>
        <w:rPr>
          <w:rFonts w:hint="default"/>
          <w:lang w:val="en-US" w:eastAsia="zh-CN"/>
        </w:rPr>
      </w:pPr>
    </w:p>
    <w:p w14:paraId="73E78CD0">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006396C2">
      <w:pPr>
        <w:numPr>
          <w:ilvl w:val="0"/>
          <w:numId w:val="0"/>
        </w:numPr>
        <w:ind w:firstLine="643" w:firstLineChars="200"/>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（一）存在的主要问题</w:t>
      </w:r>
    </w:p>
    <w:p w14:paraId="636FAC69">
      <w:pPr>
        <w:numPr>
          <w:ilvl w:val="0"/>
          <w:numId w:val="0"/>
        </w:numPr>
        <w:ind w:firstLine="640" w:firstLineChars="200"/>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经自查及社会评议发现，政府信息公开工作主要存在三方面问题：一是公开内容精准性不足，部分民生领域政策解读较为笼统，群众理解难度较大；二是公开渠道协同性不强，线上平台与线下查阅场所信息更新不同步。</w:t>
      </w:r>
    </w:p>
    <w:p w14:paraId="3452231F">
      <w:pPr>
        <w:numPr>
          <w:ilvl w:val="0"/>
          <w:numId w:val="0"/>
        </w:numPr>
        <w:ind w:firstLine="643" w:firstLineChars="200"/>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（二）改进情况</w:t>
      </w:r>
    </w:p>
    <w:p w14:paraId="7D53F4E6">
      <w:pPr>
        <w:numPr>
          <w:ilvl w:val="0"/>
          <w:numId w:val="0"/>
        </w:numPr>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是针对内容精准性不足问题，组建政策解读专班，聚焦低保申领、医保缴费等高频事项，制作图文解读、短视频等通俗化材料，在微信公众号发布，有效提升政策知晓度；二是针对渠道协同性不强问题，建立信息发布联动机制，明确专人负责线上线下信息同步审核更新，每周开展1次信息核对，同时优化线下查阅点服务。</w:t>
      </w:r>
    </w:p>
    <w:p w14:paraId="7CE69CF7">
      <w:pPr>
        <w:pStyle w:val="2"/>
        <w:numPr>
          <w:ilvl w:val="0"/>
          <w:numId w:val="0"/>
        </w:numPr>
        <w:spacing w:before="0" w:after="0" w:line="240" w:lineRule="auto"/>
        <w:ind w:firstLine="640" w:firstLineChars="200"/>
        <w:rPr>
          <w:rFonts w:hint="eastAsia" w:ascii="黑体" w:hAnsi="黑体" w:eastAsia="黑体" w:cs="黑体"/>
          <w:b w:val="0"/>
          <w:bCs w:val="0"/>
        </w:rPr>
      </w:pPr>
      <w:r>
        <w:rPr>
          <w:rFonts w:hint="eastAsia" w:ascii="黑体" w:hAnsi="黑体" w:eastAsia="黑体" w:cs="黑体"/>
          <w:b w:val="0"/>
          <w:bCs w:val="0"/>
          <w:lang w:eastAsia="zh-CN"/>
        </w:rPr>
        <w:t>六、</w:t>
      </w:r>
      <w:r>
        <w:rPr>
          <w:rFonts w:hint="eastAsia" w:ascii="黑体" w:hAnsi="黑体" w:eastAsia="黑体" w:cs="黑体"/>
          <w:b w:val="0"/>
          <w:bCs w:val="0"/>
        </w:rPr>
        <w:t>其他需要报告的事项</w:t>
      </w:r>
    </w:p>
    <w:p w14:paraId="4B700847">
      <w:pPr>
        <w:ind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b/>
          <w:bCs/>
          <w:sz w:val="32"/>
          <w:szCs w:val="32"/>
          <w:lang w:eastAsia="zh-CN"/>
        </w:rPr>
        <w:t>（一）政府信息公开信息处理费收取情况</w:t>
      </w:r>
    </w:p>
    <w:p w14:paraId="04D72AEA">
      <w:pPr>
        <w:ind w:firstLine="640" w:firstLineChars="200"/>
        <w:rPr>
          <w:rFonts w:hint="eastAsia" w:ascii="仿宋_GB2312" w:hAnsi="仿宋_GB2312" w:eastAsia="仿宋_GB2312" w:cs="仿宋_GB2312"/>
          <w:sz w:val="32"/>
          <w:szCs w:val="40"/>
          <w:lang w:val="en-US" w:eastAsia="zh-CN"/>
        </w:rPr>
      </w:pPr>
      <w:r>
        <w:rPr>
          <w:rFonts w:hint="eastAsia" w:ascii="仿宋_GB2312" w:hAnsi="文星仿宋" w:eastAsia="仿宋_GB2312"/>
          <w:sz w:val="32"/>
          <w:szCs w:val="32"/>
          <w:lang w:val="en-US" w:eastAsia="zh-CN"/>
        </w:rPr>
        <w:t>清泉街道</w:t>
      </w: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val="en-US" w:eastAsia="zh-CN"/>
        </w:rPr>
        <w:t>2025</w:t>
      </w:r>
      <w:r>
        <w:rPr>
          <w:rFonts w:hint="eastAsia" w:ascii="仿宋_GB2312" w:eastAsia="仿宋_GB2312"/>
          <w:sz w:val="32"/>
          <w:szCs w:val="32"/>
          <w:lang w:eastAsia="zh-CN"/>
        </w:rPr>
        <w:t>年度政府信息公开未收取信息处理费。</w:t>
      </w:r>
    </w:p>
    <w:p w14:paraId="68D60F63">
      <w:pPr>
        <w:ind w:firstLine="643" w:firstLineChars="200"/>
        <w:rPr>
          <w:rFonts w:hint="eastAsia" w:ascii="楷体_GB2312" w:hAnsi="楷体_GB2312" w:eastAsia="楷体_GB2312" w:cs="楷体_GB2312"/>
          <w:b/>
          <w:bCs/>
          <w:color w:val="0000FF"/>
          <w:sz w:val="32"/>
          <w:szCs w:val="32"/>
          <w:lang w:val="en" w:eastAsia="zh-CN"/>
        </w:rPr>
      </w:pPr>
      <w:r>
        <w:rPr>
          <w:rFonts w:hint="eastAsia" w:ascii="楷体_GB2312" w:hAnsi="楷体_GB2312" w:eastAsia="楷体_GB2312" w:cs="楷体_GB2312"/>
          <w:b/>
          <w:bCs/>
          <w:sz w:val="32"/>
          <w:szCs w:val="32"/>
          <w:lang w:eastAsia="zh-CN"/>
        </w:rPr>
        <w:t>（二）落实年度政务公开工作要点情况</w:t>
      </w:r>
    </w:p>
    <w:p w14:paraId="7BECC603">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2025年度，清泉街道深入贯彻落实上级关于政务公开工作的各项决策部署，严格对照年度政务公开工作要点要求，坚持以公开为常态、不公开为例外，以保障人民群众知情权、参与权、表达权和监督权为目标，扎实推进政务公开各项工作落地见效。</w:t>
      </w:r>
    </w:p>
    <w:p w14:paraId="21A9ACDF">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kern w:val="2"/>
          <w:sz w:val="32"/>
          <w:szCs w:val="32"/>
          <w:lang w:val="en-US" w:eastAsia="zh-CN" w:bidi="ar-SA"/>
        </w:rPr>
        <w:t>（三）</w:t>
      </w:r>
      <w:r>
        <w:rPr>
          <w:rFonts w:hint="eastAsia" w:ascii="楷体_GB2312" w:hAnsi="楷体_GB2312" w:eastAsia="楷体_GB2312" w:cs="楷体_GB2312"/>
          <w:b/>
          <w:bCs/>
          <w:sz w:val="32"/>
          <w:szCs w:val="32"/>
          <w:lang w:eastAsia="zh-CN"/>
        </w:rPr>
        <w:t>人大代表建议和政协提案办理结果公开情况</w:t>
      </w:r>
    </w:p>
    <w:p w14:paraId="4C24A064">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2025年度，</w:t>
      </w:r>
      <w:r>
        <w:rPr>
          <w:rFonts w:hint="eastAsia" w:ascii="仿宋_GB2312" w:hAnsi="仿宋_GB2312" w:eastAsia="仿宋_GB2312" w:cs="仿宋_GB2312"/>
          <w:b w:val="0"/>
          <w:bCs w:val="0"/>
          <w:sz w:val="32"/>
          <w:szCs w:val="32"/>
          <w:lang w:val="en-US" w:eastAsia="zh-CN"/>
        </w:rPr>
        <w:t>清泉街道</w:t>
      </w:r>
      <w:r>
        <w:rPr>
          <w:rFonts w:hint="eastAsia" w:ascii="仿宋_GB2312" w:hAnsi="仿宋_GB2312" w:eastAsia="仿宋_GB2312" w:cs="仿宋_GB2312"/>
          <w:b w:val="0"/>
          <w:bCs w:val="0"/>
          <w:sz w:val="32"/>
          <w:szCs w:val="32"/>
          <w:lang w:eastAsia="zh-CN"/>
        </w:rPr>
        <w:t>未收到人大代表建议和政协委员提案。</w:t>
      </w:r>
    </w:p>
    <w:p w14:paraId="00A87D3E">
      <w:p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（四）政务公开工作创新情况</w:t>
      </w:r>
    </w:p>
    <w:p w14:paraId="7ED3378C">
      <w:pPr>
        <w:ind w:firstLine="640" w:firstLineChars="200"/>
        <w:rPr>
          <w:rFonts w:hint="eastAsia"/>
          <w:sz w:val="32"/>
          <w:szCs w:val="48"/>
          <w:lang w:val="en-US" w:eastAsia="zh-CN"/>
        </w:rPr>
      </w:pPr>
      <w:r>
        <w:rPr>
          <w:rFonts w:hint="eastAsia" w:ascii="仿宋_GB2312" w:hAnsi="仿宋_GB2312" w:eastAsia="仿宋_GB2312" w:cs="仿宋_GB2312"/>
          <w:sz w:val="32"/>
          <w:szCs w:val="48"/>
          <w:lang w:val="en-US" w:eastAsia="zh-CN"/>
        </w:rPr>
        <w:t>2025年政务公开聚焦数字化、精准化、互动化创新。升级东三里政务公开专区，构建“线上+线下”智慧公开体系，实现高频事项“指尖办”，通过大数据精准推送政策。打造场景化公开模式，梳理高频事项指南，推进跨域通办信息公开，定制专属政策解读材料。健全政民互动机制，常态化开展“政府开放日”，搭建诉求反馈闭环平台，推行重大决策事前公开，提升公众参与度与决策科学性。</w:t>
      </w:r>
    </w:p>
    <w:p w14:paraId="1D2BAF95">
      <w:p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（五）政府信息公开年度报告数据统计需要说明的事项</w:t>
      </w:r>
    </w:p>
    <w:p w14:paraId="15698140">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1.本年度报告中所列数据统计期限从2025年1月1日到12月31日止。</w:t>
      </w:r>
    </w:p>
    <w:p w14:paraId="109F9E98">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2.行政许可数量、行政处罚和行政强制数量，包括已公开和依法未公开的全部处理决定。</w:t>
      </w:r>
    </w:p>
    <w:p w14:paraId="51191425">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3.行政复议机关作为共同被告的行政诉讼案件，只计算原行为主体的案件数量，不计算行政复议机关的案件数量。</w:t>
      </w:r>
    </w:p>
    <w:p w14:paraId="19EBDF2F">
      <w:pPr>
        <w:rPr>
          <w:rFonts w:hint="eastAsia"/>
          <w:sz w:val="32"/>
          <w:szCs w:val="4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汉仪中等线简">
    <w:altName w:val="宋体"/>
    <w:panose1 w:val="02010600000101010101"/>
    <w:charset w:val="86"/>
    <w:family w:val="modern"/>
    <w:pitch w:val="default"/>
    <w:sig w:usb0="00000000" w:usb1="00000000" w:usb2="00000002"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3D6D"/>
    <w:multiLevelType w:val="singleLevel"/>
    <w:tmpl w:val="5C873D6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402F0"/>
    <w:rsid w:val="01C42B8B"/>
    <w:rsid w:val="03435D32"/>
    <w:rsid w:val="0A716FE0"/>
    <w:rsid w:val="1A017B9C"/>
    <w:rsid w:val="1D343524"/>
    <w:rsid w:val="1DFC3255"/>
    <w:rsid w:val="24B7295B"/>
    <w:rsid w:val="29820015"/>
    <w:rsid w:val="2E612427"/>
    <w:rsid w:val="33D86553"/>
    <w:rsid w:val="404F381F"/>
    <w:rsid w:val="44113205"/>
    <w:rsid w:val="44E94269"/>
    <w:rsid w:val="497648CC"/>
    <w:rsid w:val="4AAE38A9"/>
    <w:rsid w:val="4B074E64"/>
    <w:rsid w:val="4BE72F58"/>
    <w:rsid w:val="4D2C26A6"/>
    <w:rsid w:val="4DD402F0"/>
    <w:rsid w:val="52F42171"/>
    <w:rsid w:val="60532359"/>
    <w:rsid w:val="62887C74"/>
    <w:rsid w:val="635E7691"/>
    <w:rsid w:val="6F61022F"/>
    <w:rsid w:val="71121CE9"/>
    <w:rsid w:val="783E1C62"/>
    <w:rsid w:val="7CDB7267"/>
    <w:rsid w:val="7F74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清泉街道办事处2025年信息公开数据图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工作表.xls]Sheet1'!$H$2:$K$2</c:f>
              <c:strCache>
                <c:ptCount val="4"/>
                <c:pt idx="0">
                  <c:v>镇街动态</c:v>
                </c:pt>
                <c:pt idx="1">
                  <c:v>行政执法</c:v>
                </c:pt>
                <c:pt idx="2">
                  <c:v>机构职能</c:v>
                </c:pt>
                <c:pt idx="3">
                  <c:v>其它方面信息</c:v>
                </c:pt>
              </c:strCache>
            </c:strRef>
          </c:cat>
          <c:val>
            <c:numRef>
              <c:f>'[新建 XLS 工作表.xls]Sheet1'!$H$3:$K$3</c:f>
              <c:numCache>
                <c:formatCode>General</c:formatCode>
                <c:ptCount val="4"/>
                <c:pt idx="0">
                  <c:v>16</c:v>
                </c:pt>
                <c:pt idx="1">
                  <c:v>13</c:v>
                </c:pt>
                <c:pt idx="2">
                  <c:v>9</c:v>
                </c:pt>
                <c:pt idx="3">
                  <c:v>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c394b67-6e78-4328-a245-9e5ca92503a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baseline="0">
                <a:solidFill>
                  <a:schemeClr val="tx1">
                    <a:lumMod val="75000"/>
                    <a:lumOff val="25000"/>
                  </a:schemeClr>
                </a:solidFill>
                <a:latin typeface="+mn-lt"/>
                <a:ea typeface="+mn-ea"/>
                <a:cs typeface="+mn-cs"/>
              </a:defRPr>
            </a:pPr>
            <a:r>
              <a:rPr sz="1080"/>
              <a:t>依申请公开件</a:t>
            </a:r>
            <a:endParaRPr sz="1080"/>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[工作簿1]Sheet1!$D$7:$F$7</c:f>
              <c:strCache>
                <c:ptCount val="3"/>
                <c:pt idx="0">
                  <c:v>予以公开</c:v>
                </c:pt>
                <c:pt idx="1">
                  <c:v>部分公开</c:v>
                </c:pt>
                <c:pt idx="2">
                  <c:v>其他处理</c:v>
                </c:pt>
              </c:strCache>
            </c:strRef>
          </c:cat>
          <c:val>
            <c:numRef>
              <c:f>[工作簿1]Sheet1!$D$8:$F$8</c:f>
              <c:numCache>
                <c:formatCode>General</c:formatCode>
                <c:ptCount val="3"/>
                <c:pt idx="0">
                  <c:v>4</c:v>
                </c:pt>
                <c:pt idx="1">
                  <c:v>4</c:v>
                </c:pt>
                <c:pt idx="2">
                  <c:v>1</c:v>
                </c:pt>
              </c:numCache>
            </c:numRef>
          </c:val>
        </c:ser>
        <c:dLbls>
          <c:showLegendKey val="0"/>
          <c:showVal val="0"/>
          <c:showCatName val="0"/>
          <c:showSerName val="0"/>
          <c:showPercent val="0"/>
          <c:showBubbleSize val="0"/>
        </c:dLbls>
        <c:gapWidth val="246"/>
        <c:overlap val="-28"/>
        <c:axId val="790016163"/>
        <c:axId val="870093946"/>
      </c:barChart>
      <c:catAx>
        <c:axId val="7900161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0093946"/>
        <c:crosses val="autoZero"/>
        <c:auto val="1"/>
        <c:lblAlgn val="ctr"/>
        <c:lblOffset val="100"/>
        <c:noMultiLvlLbl val="0"/>
      </c:catAx>
      <c:valAx>
        <c:axId val="87009394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0016163"/>
        <c:crosses val="autoZero"/>
        <c:crossBetween val="between"/>
      </c:valAx>
      <c:spPr>
        <a:noFill/>
        <a:ln>
          <a:noFill/>
        </a:ln>
        <a:effectLst/>
      </c:spPr>
    </c:plotArea>
    <c:plotVisOnly val="1"/>
    <c:dispBlanksAs val="gap"/>
    <c:showDLblsOverMax val="0"/>
    <c:extLst>
      <c:ext uri="{0b15fc19-7d7d-44ad-8c2d-2c3a37ce22c3}">
        <chartProps xmlns="https://web.wps.cn/et/2018/main" chartId="{4879bbff-2390-4638-805d-fb74d79ee2f5}"/>
      </c:ext>
    </c:extLst>
  </c:chart>
  <c:spPr>
    <a:solidFill>
      <a:schemeClr val="bg1"/>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2890</Words>
  <Characters>3044</Characters>
  <Lines>0</Lines>
  <Paragraphs>0</Paragraphs>
  <TotalTime>229</TotalTime>
  <ScaleCrop>false</ScaleCrop>
  <LinksUpToDate>false</LinksUpToDate>
  <CharactersWithSpaces>3044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2026-01-12T06:08:00Z</dcterms:created>
  <dc:creator>几分。。。</dc:creator>
  <cp:lastModifiedBy>cookie</cp:lastModifiedBy>
  <dcterms:modified xsi:type="dcterms:W3CDTF">2026-01-21T07:18:38Z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F185E06C2689491DAC8F4D1BF95701DC_11</vt:lpwstr>
  </property>
  <property fmtid="{D5CDD505-2E9C-101B-9397-08002B2CF9AE}" pid="4" name="KSOTemplateDocerSaveRecord">
    <vt:lpwstr>eyJoZGlkIjoiYmFiYzI2MWM0NWFiMWQ2ODljYjk4YzY5MTQxZGNlN2IiLCJ1c2VySWQiOiI0MjIyMzUzNjYifQ==</vt:lpwstr>
  </property>
</Properties>
</file>