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80E53">
      <w:pPr>
        <w:spacing w:line="244" w:lineRule="auto"/>
        <w:rPr>
          <w:rFonts w:ascii="Arial"/>
          <w:sz w:val="21"/>
        </w:rPr>
      </w:pPr>
    </w:p>
    <w:p w14:paraId="2AEE7B51">
      <w:pPr>
        <w:spacing w:line="244" w:lineRule="auto"/>
        <w:rPr>
          <w:rFonts w:ascii="Arial"/>
          <w:sz w:val="21"/>
        </w:rPr>
      </w:pPr>
    </w:p>
    <w:p w14:paraId="5BBDC2D7">
      <w:pPr>
        <w:spacing w:line="244" w:lineRule="auto"/>
        <w:rPr>
          <w:rFonts w:ascii="Arial"/>
          <w:sz w:val="21"/>
        </w:rPr>
      </w:pPr>
    </w:p>
    <w:p w14:paraId="51B9DC0C">
      <w:pPr>
        <w:spacing w:line="244" w:lineRule="auto"/>
        <w:rPr>
          <w:rFonts w:ascii="Arial"/>
          <w:sz w:val="21"/>
        </w:rPr>
      </w:pPr>
    </w:p>
    <w:p w14:paraId="2FD35A8C">
      <w:pPr>
        <w:spacing w:line="244" w:lineRule="auto"/>
        <w:rPr>
          <w:rFonts w:ascii="Arial"/>
          <w:sz w:val="21"/>
        </w:rPr>
      </w:pPr>
    </w:p>
    <w:p w14:paraId="5BDD80CC">
      <w:pPr>
        <w:spacing w:line="244" w:lineRule="auto"/>
        <w:rPr>
          <w:rFonts w:ascii="Arial"/>
          <w:sz w:val="21"/>
        </w:rPr>
      </w:pPr>
    </w:p>
    <w:p w14:paraId="4EC79C62">
      <w:pPr>
        <w:spacing w:line="244" w:lineRule="auto"/>
        <w:rPr>
          <w:rFonts w:ascii="Arial"/>
          <w:sz w:val="21"/>
        </w:rPr>
      </w:pPr>
    </w:p>
    <w:p w14:paraId="25C0CA4B">
      <w:pPr>
        <w:spacing w:line="244" w:lineRule="auto"/>
        <w:rPr>
          <w:rFonts w:ascii="Arial"/>
          <w:sz w:val="21"/>
        </w:rPr>
      </w:pPr>
    </w:p>
    <w:p w14:paraId="3E6F0545">
      <w:pPr>
        <w:pStyle w:val="2"/>
        <w:spacing w:before="107" w:line="222" w:lineRule="auto"/>
        <w:ind w:left="2577"/>
        <w:rPr>
          <w:sz w:val="33"/>
          <w:szCs w:val="33"/>
        </w:rPr>
      </w:pPr>
      <w:r>
        <w:rPr>
          <w:spacing w:val="-12"/>
          <w:sz w:val="33"/>
          <w:szCs w:val="33"/>
        </w:rPr>
        <w:t>冠发改价格〔2025〕16号</w:t>
      </w:r>
    </w:p>
    <w:p w14:paraId="172A4D3F">
      <w:pPr>
        <w:spacing w:line="244" w:lineRule="auto"/>
        <w:rPr>
          <w:rFonts w:ascii="Arial"/>
          <w:sz w:val="21"/>
        </w:rPr>
      </w:pPr>
      <w:bookmarkStart w:id="0" w:name="_GoBack"/>
      <w:bookmarkEnd w:id="0"/>
    </w:p>
    <w:p w14:paraId="5AE6E306">
      <w:pPr>
        <w:spacing w:line="244" w:lineRule="auto"/>
        <w:rPr>
          <w:rFonts w:ascii="Arial"/>
          <w:sz w:val="21"/>
        </w:rPr>
      </w:pPr>
    </w:p>
    <w:p w14:paraId="0FB1BC33">
      <w:pPr>
        <w:spacing w:line="244" w:lineRule="auto"/>
        <w:rPr>
          <w:rFonts w:ascii="Arial"/>
          <w:sz w:val="21"/>
        </w:rPr>
      </w:pPr>
    </w:p>
    <w:p w14:paraId="3E92F874">
      <w:pPr>
        <w:spacing w:line="244" w:lineRule="auto"/>
        <w:rPr>
          <w:rFonts w:ascii="Arial"/>
          <w:sz w:val="21"/>
        </w:rPr>
      </w:pPr>
    </w:p>
    <w:p w14:paraId="4A8A6503">
      <w:pPr>
        <w:spacing w:line="244" w:lineRule="auto"/>
        <w:rPr>
          <w:rFonts w:ascii="Arial"/>
          <w:sz w:val="21"/>
        </w:rPr>
      </w:pPr>
    </w:p>
    <w:p w14:paraId="44D662D6">
      <w:pPr>
        <w:spacing w:line="244" w:lineRule="auto"/>
        <w:rPr>
          <w:rFonts w:ascii="Arial"/>
          <w:sz w:val="21"/>
        </w:rPr>
      </w:pPr>
    </w:p>
    <w:p w14:paraId="0F915527">
      <w:pPr>
        <w:spacing w:before="146" w:line="219" w:lineRule="auto"/>
        <w:ind w:left="933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27"/>
          <w:sz w:val="45"/>
          <w:szCs w:val="45"/>
        </w:rPr>
        <w:t>关于冠县城区生活垃圾处理及非居民</w:t>
      </w:r>
    </w:p>
    <w:p w14:paraId="54E9EC17">
      <w:pPr>
        <w:spacing w:before="46" w:line="219" w:lineRule="auto"/>
        <w:ind w:left="503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27"/>
          <w:sz w:val="45"/>
          <w:szCs w:val="45"/>
        </w:rPr>
        <w:t>厨余垃圾计量收费标准等有关问题的通知</w:t>
      </w:r>
    </w:p>
    <w:p w14:paraId="0681550A">
      <w:pPr>
        <w:spacing w:line="316" w:lineRule="auto"/>
        <w:rPr>
          <w:rFonts w:ascii="Arial"/>
          <w:sz w:val="21"/>
        </w:rPr>
      </w:pPr>
    </w:p>
    <w:p w14:paraId="341B8418">
      <w:pPr>
        <w:spacing w:line="316" w:lineRule="auto"/>
        <w:rPr>
          <w:rFonts w:ascii="Arial"/>
          <w:sz w:val="21"/>
        </w:rPr>
      </w:pPr>
    </w:p>
    <w:p w14:paraId="5ED80EEC">
      <w:pPr>
        <w:pStyle w:val="2"/>
        <w:spacing w:before="99" w:line="222" w:lineRule="auto"/>
        <w:ind w:left="87"/>
      </w:pPr>
      <w:r>
        <w:rPr>
          <w:spacing w:val="4"/>
        </w:rPr>
        <w:t>冠县城市市容环境卫生服务中心：</w:t>
      </w:r>
    </w:p>
    <w:p w14:paraId="303BA404">
      <w:pPr>
        <w:pStyle w:val="2"/>
        <w:spacing w:before="138" w:line="351" w:lineRule="auto"/>
        <w:ind w:left="97" w:firstLine="630"/>
        <w:jc w:val="both"/>
      </w:pPr>
      <w:r>
        <w:rPr>
          <w:spacing w:val="4"/>
        </w:rPr>
        <w:t>为认真贯彻落实有关文件精神，切实做好我县城区生活垃圾</w:t>
      </w:r>
      <w:r>
        <w:rPr>
          <w:spacing w:val="7"/>
        </w:rPr>
        <w:t xml:space="preserve">  </w:t>
      </w:r>
      <w:r>
        <w:rPr>
          <w:spacing w:val="6"/>
        </w:rPr>
        <w:t>处理工作，加强厨余垃圾源头治理，推动形</w:t>
      </w:r>
      <w:r>
        <w:rPr>
          <w:spacing w:val="5"/>
        </w:rPr>
        <w:t>成绿色发展生产方式</w:t>
      </w:r>
      <w:r>
        <w:t xml:space="preserve">  </w:t>
      </w:r>
      <w:r>
        <w:rPr>
          <w:spacing w:val="16"/>
        </w:rPr>
        <w:t>和生活方式，根据《国家发展改革委住房城乡建设部关于</w:t>
      </w:r>
      <w:r>
        <w:rPr>
          <w:spacing w:val="15"/>
        </w:rPr>
        <w:t>推进</w:t>
      </w:r>
      <w:r>
        <w:t xml:space="preserve">  </w:t>
      </w:r>
      <w:r>
        <w:rPr>
          <w:spacing w:val="11"/>
        </w:rPr>
        <w:t>非居民厨余垃圾处理计量收费的指导意见》(发改价格〔202</w:t>
      </w:r>
      <w:r>
        <w:rPr>
          <w:spacing w:val="10"/>
        </w:rPr>
        <w:t>1〕</w:t>
      </w:r>
      <w:r>
        <w:t xml:space="preserve">  </w:t>
      </w:r>
      <w:r>
        <w:rPr>
          <w:spacing w:val="9"/>
        </w:rPr>
        <w:t>977号)、《中华人民共和国固体废物污染环境防治法》(2020年</w:t>
      </w:r>
      <w:r>
        <w:rPr>
          <w:spacing w:val="5"/>
        </w:rPr>
        <w:t xml:space="preserve">  </w:t>
      </w:r>
      <w:r>
        <w:rPr>
          <w:spacing w:val="-1"/>
        </w:rPr>
        <w:t>修订)、《政府制定价格行为规则》</w:t>
      </w:r>
      <w:r>
        <w:rPr>
          <w:rFonts w:hint="eastAsia" w:ascii="宋体" w:hAnsi="宋体" w:eastAsia="宋体" w:cs="宋体"/>
          <w:spacing w:val="-1"/>
          <w:lang w:eastAsia="zh-CN"/>
        </w:rPr>
        <w:t>（</w:t>
      </w:r>
      <w:r>
        <w:rPr>
          <w:spacing w:val="-1"/>
        </w:rPr>
        <w:t>国家发改委令2017年第7号)、</w:t>
      </w:r>
      <w:r>
        <w:rPr>
          <w:spacing w:val="12"/>
        </w:rPr>
        <w:t xml:space="preserve"> </w:t>
      </w:r>
      <w:r>
        <w:rPr>
          <w:spacing w:val="11"/>
        </w:rPr>
        <w:t>《山东省发展和改革委员会关于公布&lt;山东省定价目录&gt;的通知》</w:t>
      </w:r>
      <w:r>
        <w:rPr>
          <w:spacing w:val="9"/>
        </w:rPr>
        <w:t xml:space="preserve"> </w:t>
      </w:r>
      <w:r>
        <w:rPr>
          <w:spacing w:val="24"/>
        </w:rPr>
        <w:t>(鲁发改价格〔2020〕1361号)等有关规定，结合我县及周边</w:t>
      </w:r>
      <w:r>
        <w:rPr>
          <w:spacing w:val="5"/>
        </w:rPr>
        <w:t>县市情况，经研究，现将我县城区生活垃圾处理及非居民厨余垃</w:t>
      </w:r>
      <w:r>
        <w:rPr>
          <w:spacing w:val="7"/>
        </w:rPr>
        <w:t>圾计量收费标准等有关问题明确如下。</w:t>
      </w:r>
    </w:p>
    <w:p w14:paraId="71763C51">
      <w:pPr>
        <w:spacing w:line="351" w:lineRule="auto"/>
        <w:sectPr>
          <w:footerReference r:id="rId5" w:type="default"/>
          <w:pgSz w:w="11900" w:h="16820"/>
          <w:pgMar w:top="1429" w:right="1540" w:bottom="1669" w:left="1532" w:header="0" w:footer="1290" w:gutter="0"/>
          <w:cols w:space="720" w:num="1"/>
        </w:sectPr>
      </w:pPr>
    </w:p>
    <w:p w14:paraId="0EA0162B">
      <w:pPr>
        <w:spacing w:line="321" w:lineRule="auto"/>
        <w:rPr>
          <w:rFonts w:ascii="Arial"/>
          <w:sz w:val="21"/>
        </w:rPr>
      </w:pPr>
    </w:p>
    <w:p w14:paraId="4398B312">
      <w:pPr>
        <w:spacing w:line="322" w:lineRule="auto"/>
        <w:rPr>
          <w:rFonts w:ascii="Arial"/>
          <w:sz w:val="21"/>
        </w:rPr>
      </w:pPr>
    </w:p>
    <w:p w14:paraId="43B193BB">
      <w:pPr>
        <w:spacing w:before="97" w:line="220" w:lineRule="auto"/>
        <w:ind w:left="82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6"/>
          <w:sz w:val="30"/>
          <w:szCs w:val="30"/>
        </w:rPr>
        <w:t>一、生活垃圾处理费的收取范围</w:t>
      </w:r>
    </w:p>
    <w:p w14:paraId="2F5B6BE8">
      <w:pPr>
        <w:pStyle w:val="2"/>
        <w:spacing w:before="241" w:line="357" w:lineRule="auto"/>
        <w:ind w:left="225" w:right="79" w:firstLine="599"/>
        <w:jc w:val="both"/>
      </w:pPr>
      <w:r>
        <w:rPr>
          <w:spacing w:val="16"/>
        </w:rPr>
        <w:t>城市生活垃圾是指城市人口在日常生活中产生或为</w:t>
      </w:r>
      <w:r>
        <w:rPr>
          <w:spacing w:val="15"/>
        </w:rPr>
        <w:t>城市日</w:t>
      </w:r>
      <w:r>
        <w:t xml:space="preserve"> </w:t>
      </w:r>
      <w:r>
        <w:rPr>
          <w:spacing w:val="21"/>
        </w:rPr>
        <w:t>常生活提供服务的活动产生的固体废物(不包括建筑垃圾和渣</w:t>
      </w:r>
      <w:r>
        <w:rPr>
          <w:spacing w:val="1"/>
        </w:rPr>
        <w:t xml:space="preserve"> </w:t>
      </w:r>
      <w:r>
        <w:rPr>
          <w:spacing w:val="10"/>
        </w:rPr>
        <w:t>土、工业固体废物、危险废物和医疗废物)。本通知生活垃圾处</w:t>
      </w:r>
      <w:r>
        <w:rPr>
          <w:spacing w:val="9"/>
        </w:rPr>
        <w:t xml:space="preserve"> </w:t>
      </w:r>
      <w:r>
        <w:rPr>
          <w:spacing w:val="4"/>
        </w:rPr>
        <w:t>理费收取的范围为县城区内所有产生生活垃圾的国家机关、企事</w:t>
      </w:r>
      <w:r>
        <w:rPr>
          <w:spacing w:val="12"/>
        </w:rPr>
        <w:t xml:space="preserve"> </w:t>
      </w:r>
      <w:r>
        <w:rPr>
          <w:spacing w:val="6"/>
        </w:rPr>
        <w:t>业单位、社会团体、个体经营户、城市居民和城市暂住人口。</w:t>
      </w:r>
    </w:p>
    <w:p w14:paraId="24333CDC">
      <w:pPr>
        <w:spacing w:line="220" w:lineRule="auto"/>
        <w:ind w:left="82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二、生活垃圾处理收费标准</w:t>
      </w:r>
    </w:p>
    <w:p w14:paraId="7062D8B3">
      <w:pPr>
        <w:pStyle w:val="2"/>
        <w:spacing w:before="246" w:line="287" w:lineRule="auto"/>
        <w:ind w:left="225" w:right="71" w:firstLine="749"/>
      </w:pPr>
      <w:r>
        <w:rPr>
          <w:spacing w:val="29"/>
        </w:rPr>
        <w:t>(一)居民每户每月收取10元(不包括实行</w:t>
      </w:r>
      <w:r>
        <w:rPr>
          <w:spacing w:val="28"/>
        </w:rPr>
        <w:t>物业管理小区</w:t>
      </w:r>
      <w:r>
        <w:t xml:space="preserve"> </w:t>
      </w:r>
      <w:r>
        <w:rPr>
          <w:spacing w:val="21"/>
        </w:rPr>
        <w:t>内的清洁卫生费用)</w:t>
      </w:r>
    </w:p>
    <w:p w14:paraId="2045FB1E">
      <w:pPr>
        <w:pStyle w:val="2"/>
        <w:spacing w:before="236" w:line="289" w:lineRule="auto"/>
        <w:ind w:left="225" w:firstLine="749"/>
      </w:pPr>
      <w:r>
        <w:rPr>
          <w:spacing w:val="14"/>
        </w:rPr>
        <w:t>(二)国家机关、企事业单位、社会团体、幼儿园、学校、</w:t>
      </w:r>
      <w:r>
        <w:rPr>
          <w:spacing w:val="5"/>
        </w:rPr>
        <w:t xml:space="preserve"> </w:t>
      </w:r>
      <w:r>
        <w:rPr>
          <w:spacing w:val="12"/>
        </w:rPr>
        <w:t>医院等单位每人每月收取4元。</w:t>
      </w:r>
    </w:p>
    <w:p w14:paraId="64BAE29E">
      <w:pPr>
        <w:pStyle w:val="2"/>
        <w:spacing w:before="211" w:line="222" w:lineRule="auto"/>
        <w:ind w:left="974"/>
      </w:pPr>
      <w:r>
        <w:rPr>
          <w:spacing w:val="24"/>
        </w:rPr>
        <w:t>(三)宾馆、招待所每床位每月1元。</w:t>
      </w:r>
    </w:p>
    <w:p w14:paraId="5A8485D4">
      <w:pPr>
        <w:pStyle w:val="2"/>
        <w:spacing w:before="227" w:line="291" w:lineRule="auto"/>
        <w:ind w:left="225" w:right="30" w:firstLine="749"/>
      </w:pPr>
      <w:r>
        <w:rPr>
          <w:spacing w:val="13"/>
        </w:rPr>
        <w:t>(四)餐饮业可在以下两种计费方式中自主选择计费方式，</w:t>
      </w:r>
      <w:r>
        <w:rPr>
          <w:spacing w:val="1"/>
        </w:rPr>
        <w:t xml:space="preserve"> 一经选定，一年内不得更改。</w:t>
      </w:r>
    </w:p>
    <w:p w14:paraId="57FAB72A">
      <w:pPr>
        <w:pStyle w:val="2"/>
        <w:spacing w:before="245" w:line="290" w:lineRule="auto"/>
        <w:ind w:left="225" w:right="156" w:firstLine="599"/>
      </w:pPr>
      <w:r>
        <w:rPr>
          <w:rFonts w:ascii="宋体" w:hAnsi="宋体" w:eastAsia="宋体" w:cs="宋体"/>
          <w:spacing w:val="13"/>
        </w:rPr>
        <w:t>1.</w:t>
      </w:r>
      <w:r>
        <w:rPr>
          <w:spacing w:val="13"/>
        </w:rPr>
        <w:t>继续执行原计费方式：按每标桌10人计算，每桌每月按</w:t>
      </w:r>
      <w:r>
        <w:rPr>
          <w:spacing w:val="11"/>
        </w:rPr>
        <w:t xml:space="preserve"> </w:t>
      </w:r>
      <w:r>
        <w:rPr>
          <w:spacing w:val="21"/>
        </w:rPr>
        <w:t>20元计收，每桌减少或增加1位，按每月</w:t>
      </w:r>
      <w:r>
        <w:rPr>
          <w:spacing w:val="20"/>
        </w:rPr>
        <w:t>2元递减或递增。</w:t>
      </w:r>
    </w:p>
    <w:p w14:paraId="58B408E7">
      <w:pPr>
        <w:pStyle w:val="2"/>
        <w:spacing w:before="232" w:line="222" w:lineRule="auto"/>
        <w:ind w:left="825"/>
      </w:pPr>
      <w:r>
        <w:rPr>
          <w:spacing w:val="-1"/>
        </w:rPr>
        <w:t>2. “基本处理费+厨余垃圾计量收费”计费方式：</w:t>
      </w:r>
    </w:p>
    <w:p w14:paraId="0C37D9F5">
      <w:pPr>
        <w:pStyle w:val="2"/>
        <w:spacing w:before="227" w:line="280" w:lineRule="auto"/>
        <w:ind w:left="225" w:right="49" w:firstLine="479"/>
      </w:pPr>
      <w:r>
        <w:rPr>
          <w:spacing w:val="26"/>
        </w:rPr>
        <w:t>(1)基本处理费：按每标桌10人计算，每桌每月按10元计</w:t>
      </w:r>
      <w:r>
        <w:rPr>
          <w:spacing w:val="11"/>
        </w:rPr>
        <w:t xml:space="preserve"> </w:t>
      </w:r>
      <w:r>
        <w:rPr>
          <w:spacing w:val="19"/>
        </w:rPr>
        <w:t>收，每桌减少或增加1位，按每月1元递减或递增。</w:t>
      </w:r>
    </w:p>
    <w:p w14:paraId="16DF0E7E">
      <w:pPr>
        <w:pStyle w:val="2"/>
        <w:spacing w:before="258" w:line="324" w:lineRule="auto"/>
        <w:ind w:left="225" w:right="79" w:firstLine="469"/>
        <w:rPr>
          <w:sz w:val="24"/>
          <w:szCs w:val="24"/>
        </w:rPr>
      </w:pPr>
      <w:r>
        <w:rPr>
          <w:spacing w:val="15"/>
        </w:rPr>
        <w:t>(2)厨余垃圾计量收费：在收取基本处理费的基础上，依据</w:t>
      </w:r>
      <w:r>
        <w:rPr>
          <w:spacing w:val="13"/>
        </w:rPr>
        <w:t xml:space="preserve"> </w:t>
      </w:r>
      <w:r>
        <w:rPr>
          <w:spacing w:val="10"/>
        </w:rPr>
        <w:t>厨余垃圾实际产生量，按0.02元/升的标</w:t>
      </w:r>
      <w:r>
        <w:rPr>
          <w:spacing w:val="9"/>
        </w:rPr>
        <w:t>准另行收取厨余垃圾处</w:t>
      </w:r>
      <w:r>
        <w:t xml:space="preserve"> </w:t>
      </w:r>
      <w:r>
        <w:rPr>
          <w:spacing w:val="-14"/>
          <w:sz w:val="24"/>
          <w:szCs w:val="24"/>
        </w:rPr>
        <w:t>理</w:t>
      </w:r>
      <w:r>
        <w:rPr>
          <w:spacing w:val="-12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费</w:t>
      </w:r>
      <w:r>
        <w:rPr>
          <w:spacing w:val="-36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。</w:t>
      </w:r>
    </w:p>
    <w:p w14:paraId="23B49E2E">
      <w:pPr>
        <w:spacing w:before="284" w:line="241" w:lineRule="auto"/>
        <w:ind w:left="22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spacing w:val="-5"/>
          <w:sz w:val="39"/>
          <w:szCs w:val="39"/>
        </w:rPr>
        <w:t>—2—</w:t>
      </w:r>
    </w:p>
    <w:p w14:paraId="6EC15903">
      <w:pPr>
        <w:spacing w:line="241" w:lineRule="auto"/>
        <w:rPr>
          <w:rFonts w:ascii="宋体" w:hAnsi="宋体" w:eastAsia="宋体" w:cs="宋体"/>
          <w:sz w:val="39"/>
          <w:szCs w:val="39"/>
        </w:rPr>
        <w:sectPr>
          <w:footerReference r:id="rId6" w:type="default"/>
          <w:pgSz w:w="11900" w:h="16820"/>
          <w:pgMar w:top="1429" w:right="1269" w:bottom="400" w:left="1785" w:header="0" w:footer="0" w:gutter="0"/>
          <w:cols w:space="720" w:num="1"/>
        </w:sectPr>
      </w:pPr>
    </w:p>
    <w:p w14:paraId="7CD426FF">
      <w:pPr>
        <w:spacing w:line="323" w:lineRule="auto"/>
        <w:rPr>
          <w:rFonts w:ascii="Arial"/>
          <w:sz w:val="21"/>
        </w:rPr>
      </w:pPr>
    </w:p>
    <w:p w14:paraId="711A30C0">
      <w:pPr>
        <w:spacing w:line="324" w:lineRule="auto"/>
        <w:rPr>
          <w:rFonts w:ascii="Arial"/>
          <w:sz w:val="21"/>
        </w:rPr>
      </w:pPr>
    </w:p>
    <w:p w14:paraId="5CF1063E">
      <w:pPr>
        <w:pStyle w:val="2"/>
        <w:spacing w:before="97" w:line="305" w:lineRule="auto"/>
        <w:ind w:right="70" w:firstLine="730"/>
      </w:pPr>
      <w:r>
        <w:rPr>
          <w:spacing w:val="10"/>
        </w:rPr>
        <w:t>(五)其他商业、服务业、娱乐场所等行业按实际使用营业</w:t>
      </w:r>
      <w:r>
        <w:rPr>
          <w:spacing w:val="18"/>
        </w:rPr>
        <w:t xml:space="preserve"> </w:t>
      </w:r>
      <w:r>
        <w:rPr>
          <w:spacing w:val="23"/>
        </w:rPr>
        <w:t>面积计算，30平方米(含)以下每月每平方米收取</w:t>
      </w:r>
      <w:r>
        <w:rPr>
          <w:spacing w:val="22"/>
        </w:rPr>
        <w:t>0.50元；30</w:t>
      </w:r>
      <w:r>
        <w:t xml:space="preserve"> </w:t>
      </w:r>
      <w:r>
        <w:rPr>
          <w:spacing w:val="28"/>
        </w:rPr>
        <w:t>平方米至100平方米(含)每月每平方米收取</w:t>
      </w:r>
      <w:r>
        <w:rPr>
          <w:spacing w:val="27"/>
        </w:rPr>
        <w:t>0.4元；100平方</w:t>
      </w:r>
      <w:r>
        <w:t xml:space="preserve"> </w:t>
      </w:r>
      <w:r>
        <w:rPr>
          <w:spacing w:val="13"/>
        </w:rPr>
        <w:t>米以上每月每平方米收取0.3元。</w:t>
      </w:r>
    </w:p>
    <w:p w14:paraId="67011E50">
      <w:pPr>
        <w:pStyle w:val="2"/>
        <w:spacing w:before="200" w:line="283" w:lineRule="auto"/>
        <w:ind w:right="66" w:firstLine="730"/>
      </w:pPr>
      <w:r>
        <w:rPr>
          <w:spacing w:val="11"/>
        </w:rPr>
        <w:t>(六)农贸市场按商户实际经营面积计收，每月每</w:t>
      </w:r>
      <w:r>
        <w:rPr>
          <w:spacing w:val="10"/>
        </w:rPr>
        <w:t>平方米按</w:t>
      </w:r>
      <w:r>
        <w:t xml:space="preserve"> </w:t>
      </w:r>
      <w:r>
        <w:rPr>
          <w:spacing w:val="12"/>
        </w:rPr>
        <w:t>1元收取。</w:t>
      </w:r>
    </w:p>
    <w:p w14:paraId="2420EE43">
      <w:pPr>
        <w:pStyle w:val="2"/>
        <w:spacing w:before="164" w:line="219" w:lineRule="auto"/>
        <w:ind w:left="730"/>
      </w:pPr>
      <w:r>
        <w:rPr>
          <w:spacing w:val="21"/>
        </w:rPr>
        <w:t>(七)营业运输的客运车辆每车每月20元。</w:t>
      </w:r>
    </w:p>
    <w:p w14:paraId="6045CC34">
      <w:pPr>
        <w:pStyle w:val="2"/>
        <w:spacing w:before="206" w:line="296" w:lineRule="auto"/>
        <w:ind w:right="69" w:firstLine="730"/>
      </w:pPr>
      <w:r>
        <w:rPr>
          <w:spacing w:val="10"/>
        </w:rPr>
        <w:t>(八)医院产生的医疗垃圾和生活垃圾不得混装，医疗垃圾</w:t>
      </w:r>
      <w:r>
        <w:rPr>
          <w:spacing w:val="18"/>
        </w:rPr>
        <w:t xml:space="preserve"> </w:t>
      </w:r>
      <w:r>
        <w:rPr>
          <w:spacing w:val="4"/>
        </w:rPr>
        <w:t>由医疗垃圾处理厂收运处理，生活垃圾由生活垃圾处理厂收</w:t>
      </w:r>
      <w:r>
        <w:rPr>
          <w:spacing w:val="3"/>
        </w:rPr>
        <w:t>运处</w:t>
      </w:r>
      <w:r>
        <w:t xml:space="preserve"> </w:t>
      </w:r>
      <w:r>
        <w:rPr>
          <w:spacing w:val="4"/>
        </w:rPr>
        <w:t>理，医疗病床不收取生活垃圾处理费。</w:t>
      </w:r>
    </w:p>
    <w:p w14:paraId="1C07A200">
      <w:pPr>
        <w:spacing w:before="155" w:line="222" w:lineRule="auto"/>
        <w:ind w:left="63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三、相关优惠政策</w:t>
      </w:r>
    </w:p>
    <w:p w14:paraId="73AF4848">
      <w:pPr>
        <w:pStyle w:val="2"/>
        <w:spacing w:before="196" w:line="339" w:lineRule="auto"/>
        <w:ind w:right="50" w:firstLine="630"/>
        <w:jc w:val="both"/>
      </w:pPr>
      <w:r>
        <w:rPr>
          <w:spacing w:val="15"/>
        </w:rPr>
        <w:t>对正在享受最低生活保障和国家抚恤的城市居民家庭及社</w:t>
      </w:r>
      <w:r>
        <w:rPr>
          <w:spacing w:val="5"/>
        </w:rPr>
        <w:t xml:space="preserve"> </w:t>
      </w:r>
      <w:r>
        <w:rPr>
          <w:spacing w:val="4"/>
        </w:rPr>
        <w:t>会福利院、敬老院免收生活垃圾处理费；部队、幼儿园、义务教</w:t>
      </w:r>
      <w:r>
        <w:rPr>
          <w:spacing w:val="16"/>
        </w:rPr>
        <w:t xml:space="preserve"> </w:t>
      </w:r>
      <w:r>
        <w:rPr>
          <w:spacing w:val="25"/>
        </w:rPr>
        <w:t>育阶段学校(在校(园)生人数不计入单位人数)减半收取生活</w:t>
      </w:r>
      <w:r>
        <w:rPr>
          <w:spacing w:val="11"/>
        </w:rPr>
        <w:t xml:space="preserve"> </w:t>
      </w:r>
      <w:r>
        <w:rPr>
          <w:spacing w:val="-2"/>
        </w:rPr>
        <w:t>垃圾处理费。</w:t>
      </w:r>
    </w:p>
    <w:p w14:paraId="29FE0080">
      <w:pPr>
        <w:pStyle w:val="2"/>
        <w:spacing w:before="4" w:line="332" w:lineRule="auto"/>
        <w:ind w:firstLine="630"/>
        <w:jc w:val="both"/>
      </w:pPr>
      <w:r>
        <w:rPr>
          <w:spacing w:val="5"/>
        </w:rPr>
        <w:t>生活垃圾处理费属于经营服务性收费，缴纳遵循“谁产生、</w:t>
      </w:r>
      <w:r>
        <w:rPr>
          <w:spacing w:val="18"/>
        </w:rPr>
        <w:t xml:space="preserve"> </w:t>
      </w:r>
      <w:r>
        <w:rPr>
          <w:spacing w:val="4"/>
        </w:rPr>
        <w:t>谁付费”的原则，专项用于垃圾收集、运输和处理，任何部门和</w:t>
      </w:r>
      <w:r>
        <w:rPr>
          <w:spacing w:val="9"/>
        </w:rPr>
        <w:t xml:space="preserve"> </w:t>
      </w:r>
      <w:r>
        <w:rPr>
          <w:spacing w:val="1"/>
        </w:rPr>
        <w:t>单位不得截留、挪用。</w:t>
      </w:r>
    </w:p>
    <w:p w14:paraId="35F00223">
      <w:pPr>
        <w:pStyle w:val="2"/>
        <w:spacing w:before="7" w:line="333" w:lineRule="auto"/>
        <w:ind w:right="12" w:firstLine="630"/>
      </w:pPr>
      <w:r>
        <w:rPr>
          <w:spacing w:val="42"/>
        </w:rPr>
        <w:t>本通知自2025年4月2日起执行，有效期至2028年3月</w:t>
      </w:r>
      <w:r>
        <w:rPr>
          <w:spacing w:val="10"/>
        </w:rPr>
        <w:t xml:space="preserve"> </w:t>
      </w:r>
      <w:r>
        <w:rPr>
          <w:spacing w:val="8"/>
        </w:rPr>
        <w:t>31日。期间如有新的政策规定，按最新文件执行。</w:t>
      </w:r>
    </w:p>
    <w:p w14:paraId="23EEFA74">
      <w:pPr>
        <w:spacing w:line="260" w:lineRule="auto"/>
        <w:rPr>
          <w:rFonts w:ascii="Arial"/>
          <w:sz w:val="21"/>
        </w:rPr>
      </w:pPr>
    </w:p>
    <w:p w14:paraId="717AA598">
      <w:pPr>
        <w:spacing w:line="261" w:lineRule="auto"/>
        <w:rPr>
          <w:rFonts w:ascii="Arial"/>
          <w:sz w:val="21"/>
        </w:rPr>
      </w:pPr>
    </w:p>
    <w:p w14:paraId="30247888">
      <w:pPr>
        <w:pStyle w:val="2"/>
        <w:spacing w:before="98" w:line="222" w:lineRule="auto"/>
        <w:ind w:left="5130"/>
      </w:pPr>
      <w:r>
        <w:rPr>
          <w:spacing w:val="8"/>
        </w:rPr>
        <w:t>冠县发展和改革局</w:t>
      </w:r>
    </w:p>
    <w:p w14:paraId="08DEA56E">
      <w:pPr>
        <w:pStyle w:val="2"/>
        <w:spacing w:before="239" w:line="222" w:lineRule="auto"/>
        <w:ind w:left="5240"/>
      </w:pPr>
      <w:r>
        <w:rPr>
          <w:spacing w:val="43"/>
          <w:w w:val="105"/>
        </w:rPr>
        <w:t>2025年4月2日</w:t>
      </w:r>
    </w:p>
    <w:p w14:paraId="08F34732">
      <w:pPr>
        <w:spacing w:line="302" w:lineRule="auto"/>
        <w:rPr>
          <w:rFonts w:ascii="Arial"/>
          <w:sz w:val="21"/>
        </w:rPr>
      </w:pPr>
    </w:p>
    <w:p w14:paraId="0A8B8357">
      <w:pPr>
        <w:spacing w:before="130"/>
        <w:ind w:right="12"/>
        <w:jc w:val="right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5"/>
          <w:sz w:val="40"/>
          <w:szCs w:val="40"/>
        </w:rPr>
        <w:t>—3—</w:t>
      </w:r>
    </w:p>
    <w:p w14:paraId="66F867B7">
      <w:pPr>
        <w:rPr>
          <w:rFonts w:ascii="宋体" w:hAnsi="宋体" w:eastAsia="宋体" w:cs="宋体"/>
          <w:sz w:val="40"/>
          <w:szCs w:val="40"/>
        </w:rPr>
        <w:sectPr>
          <w:pgSz w:w="11900" w:h="16820"/>
          <w:pgMar w:top="1429" w:right="1699" w:bottom="400" w:left="1619" w:header="0" w:footer="0" w:gutter="0"/>
          <w:cols w:space="720" w:num="1"/>
        </w:sectPr>
      </w:pPr>
    </w:p>
    <w:p w14:paraId="5970719F">
      <w:pPr>
        <w:spacing w:line="242" w:lineRule="auto"/>
        <w:rPr>
          <w:rFonts w:ascii="Arial"/>
          <w:sz w:val="21"/>
        </w:rPr>
      </w:pPr>
    </w:p>
    <w:p w14:paraId="0DD81E5C">
      <w:pPr>
        <w:spacing w:line="242" w:lineRule="auto"/>
        <w:rPr>
          <w:rFonts w:ascii="Arial"/>
          <w:sz w:val="21"/>
        </w:rPr>
      </w:pPr>
    </w:p>
    <w:p w14:paraId="54733CFD">
      <w:pPr>
        <w:spacing w:line="242" w:lineRule="auto"/>
        <w:rPr>
          <w:rFonts w:ascii="Arial"/>
          <w:sz w:val="21"/>
        </w:rPr>
      </w:pPr>
    </w:p>
    <w:p w14:paraId="1EEC065F">
      <w:pPr>
        <w:spacing w:line="242" w:lineRule="auto"/>
        <w:rPr>
          <w:rFonts w:ascii="Arial"/>
          <w:sz w:val="21"/>
        </w:rPr>
      </w:pPr>
    </w:p>
    <w:p w14:paraId="7CB52FC0">
      <w:pPr>
        <w:spacing w:line="242" w:lineRule="auto"/>
        <w:rPr>
          <w:rFonts w:ascii="Arial"/>
          <w:sz w:val="21"/>
        </w:rPr>
      </w:pPr>
    </w:p>
    <w:p w14:paraId="5D2417B5">
      <w:pPr>
        <w:spacing w:line="242" w:lineRule="auto"/>
        <w:rPr>
          <w:rFonts w:ascii="Arial"/>
          <w:sz w:val="21"/>
        </w:rPr>
      </w:pPr>
    </w:p>
    <w:p w14:paraId="0EACADC0">
      <w:pPr>
        <w:spacing w:line="242" w:lineRule="auto"/>
        <w:rPr>
          <w:rFonts w:ascii="Arial"/>
          <w:sz w:val="21"/>
        </w:rPr>
      </w:pPr>
    </w:p>
    <w:p w14:paraId="1483984C">
      <w:pPr>
        <w:spacing w:line="242" w:lineRule="auto"/>
        <w:rPr>
          <w:rFonts w:ascii="Arial"/>
          <w:sz w:val="21"/>
        </w:rPr>
      </w:pPr>
    </w:p>
    <w:p w14:paraId="64C74AE4">
      <w:pPr>
        <w:spacing w:line="242" w:lineRule="auto"/>
        <w:rPr>
          <w:rFonts w:ascii="Arial"/>
          <w:sz w:val="21"/>
        </w:rPr>
      </w:pPr>
    </w:p>
    <w:p w14:paraId="103F1EFC">
      <w:pPr>
        <w:spacing w:line="242" w:lineRule="auto"/>
        <w:rPr>
          <w:rFonts w:ascii="Arial"/>
          <w:sz w:val="21"/>
        </w:rPr>
      </w:pPr>
    </w:p>
    <w:p w14:paraId="768D12BB">
      <w:pPr>
        <w:spacing w:line="242" w:lineRule="auto"/>
        <w:rPr>
          <w:rFonts w:ascii="Arial"/>
          <w:sz w:val="21"/>
        </w:rPr>
      </w:pPr>
    </w:p>
    <w:p w14:paraId="1C4BA2B3">
      <w:pPr>
        <w:spacing w:line="242" w:lineRule="auto"/>
        <w:rPr>
          <w:rFonts w:ascii="Arial"/>
          <w:sz w:val="21"/>
        </w:rPr>
      </w:pPr>
    </w:p>
    <w:p w14:paraId="6A996752">
      <w:pPr>
        <w:spacing w:line="242" w:lineRule="auto"/>
        <w:rPr>
          <w:rFonts w:ascii="Arial"/>
          <w:sz w:val="21"/>
        </w:rPr>
      </w:pPr>
    </w:p>
    <w:p w14:paraId="25D47785">
      <w:pPr>
        <w:spacing w:line="242" w:lineRule="auto"/>
        <w:rPr>
          <w:rFonts w:ascii="Arial"/>
          <w:sz w:val="21"/>
        </w:rPr>
      </w:pPr>
    </w:p>
    <w:p w14:paraId="485BE289">
      <w:pPr>
        <w:spacing w:line="242" w:lineRule="auto"/>
        <w:rPr>
          <w:rFonts w:ascii="Arial"/>
          <w:sz w:val="21"/>
        </w:rPr>
      </w:pPr>
    </w:p>
    <w:p w14:paraId="6E17DAFD">
      <w:pPr>
        <w:spacing w:line="242" w:lineRule="auto"/>
        <w:rPr>
          <w:rFonts w:ascii="Arial"/>
          <w:sz w:val="21"/>
        </w:rPr>
      </w:pPr>
    </w:p>
    <w:p w14:paraId="1268DE00">
      <w:pPr>
        <w:spacing w:line="242" w:lineRule="auto"/>
        <w:rPr>
          <w:rFonts w:ascii="Arial"/>
          <w:sz w:val="21"/>
        </w:rPr>
      </w:pPr>
    </w:p>
    <w:p w14:paraId="29325592">
      <w:pPr>
        <w:spacing w:line="242" w:lineRule="auto"/>
        <w:rPr>
          <w:rFonts w:ascii="Arial"/>
          <w:sz w:val="21"/>
        </w:rPr>
      </w:pPr>
    </w:p>
    <w:p w14:paraId="2D310F89">
      <w:pPr>
        <w:spacing w:line="242" w:lineRule="auto"/>
        <w:rPr>
          <w:rFonts w:ascii="Arial"/>
          <w:sz w:val="21"/>
        </w:rPr>
      </w:pPr>
    </w:p>
    <w:p w14:paraId="28946BED">
      <w:pPr>
        <w:spacing w:line="242" w:lineRule="auto"/>
        <w:rPr>
          <w:rFonts w:ascii="Arial"/>
          <w:sz w:val="21"/>
        </w:rPr>
      </w:pPr>
    </w:p>
    <w:p w14:paraId="20160232">
      <w:pPr>
        <w:spacing w:line="242" w:lineRule="auto"/>
        <w:rPr>
          <w:rFonts w:ascii="Arial"/>
          <w:sz w:val="21"/>
        </w:rPr>
      </w:pPr>
    </w:p>
    <w:p w14:paraId="4C9E1BDE">
      <w:pPr>
        <w:spacing w:line="242" w:lineRule="auto"/>
        <w:rPr>
          <w:rFonts w:ascii="Arial"/>
          <w:sz w:val="21"/>
        </w:rPr>
      </w:pPr>
    </w:p>
    <w:p w14:paraId="1394649F">
      <w:pPr>
        <w:spacing w:line="242" w:lineRule="auto"/>
        <w:rPr>
          <w:rFonts w:ascii="Arial"/>
          <w:sz w:val="21"/>
        </w:rPr>
      </w:pPr>
    </w:p>
    <w:p w14:paraId="1E8B87B3">
      <w:pPr>
        <w:spacing w:line="242" w:lineRule="auto"/>
        <w:rPr>
          <w:rFonts w:ascii="Arial"/>
          <w:sz w:val="21"/>
        </w:rPr>
      </w:pPr>
    </w:p>
    <w:p w14:paraId="2F653A4D">
      <w:pPr>
        <w:spacing w:line="242" w:lineRule="auto"/>
        <w:rPr>
          <w:rFonts w:ascii="Arial"/>
          <w:sz w:val="21"/>
        </w:rPr>
      </w:pPr>
    </w:p>
    <w:p w14:paraId="6E8802E8">
      <w:pPr>
        <w:spacing w:line="242" w:lineRule="auto"/>
        <w:rPr>
          <w:rFonts w:ascii="Arial"/>
          <w:sz w:val="21"/>
        </w:rPr>
      </w:pPr>
    </w:p>
    <w:p w14:paraId="10E1DE3E">
      <w:pPr>
        <w:spacing w:line="242" w:lineRule="auto"/>
        <w:rPr>
          <w:rFonts w:ascii="Arial"/>
          <w:sz w:val="21"/>
        </w:rPr>
      </w:pPr>
    </w:p>
    <w:p w14:paraId="490A49A0">
      <w:pPr>
        <w:spacing w:line="242" w:lineRule="auto"/>
        <w:rPr>
          <w:rFonts w:ascii="Arial"/>
          <w:sz w:val="21"/>
        </w:rPr>
      </w:pPr>
    </w:p>
    <w:p w14:paraId="37249098">
      <w:pPr>
        <w:spacing w:line="242" w:lineRule="auto"/>
        <w:rPr>
          <w:rFonts w:ascii="Arial"/>
          <w:sz w:val="21"/>
        </w:rPr>
      </w:pPr>
    </w:p>
    <w:p w14:paraId="598A82E2">
      <w:pPr>
        <w:spacing w:line="242" w:lineRule="auto"/>
        <w:rPr>
          <w:rFonts w:ascii="Arial"/>
          <w:sz w:val="21"/>
        </w:rPr>
      </w:pPr>
    </w:p>
    <w:p w14:paraId="7A40BA9E">
      <w:pPr>
        <w:spacing w:line="242" w:lineRule="auto"/>
        <w:rPr>
          <w:rFonts w:ascii="Arial"/>
          <w:sz w:val="21"/>
        </w:rPr>
      </w:pPr>
    </w:p>
    <w:p w14:paraId="6ADB5D41">
      <w:pPr>
        <w:spacing w:line="242" w:lineRule="auto"/>
        <w:rPr>
          <w:rFonts w:ascii="Arial"/>
          <w:sz w:val="21"/>
        </w:rPr>
      </w:pPr>
    </w:p>
    <w:p w14:paraId="0697C949">
      <w:pPr>
        <w:spacing w:line="242" w:lineRule="auto"/>
        <w:rPr>
          <w:rFonts w:ascii="Arial"/>
          <w:sz w:val="21"/>
        </w:rPr>
      </w:pPr>
    </w:p>
    <w:p w14:paraId="6FCE3B0E">
      <w:pPr>
        <w:spacing w:line="242" w:lineRule="auto"/>
        <w:rPr>
          <w:rFonts w:ascii="Arial"/>
          <w:sz w:val="21"/>
        </w:rPr>
      </w:pPr>
    </w:p>
    <w:p w14:paraId="6FC4312D">
      <w:pPr>
        <w:spacing w:line="242" w:lineRule="auto"/>
        <w:rPr>
          <w:rFonts w:ascii="Arial"/>
          <w:sz w:val="21"/>
        </w:rPr>
      </w:pPr>
    </w:p>
    <w:p w14:paraId="0B282D1D">
      <w:pPr>
        <w:spacing w:line="242" w:lineRule="auto"/>
        <w:rPr>
          <w:rFonts w:ascii="Arial"/>
          <w:sz w:val="21"/>
        </w:rPr>
      </w:pPr>
    </w:p>
    <w:p w14:paraId="0D55F11B">
      <w:pPr>
        <w:spacing w:line="242" w:lineRule="auto"/>
        <w:rPr>
          <w:rFonts w:ascii="Arial"/>
          <w:sz w:val="21"/>
        </w:rPr>
      </w:pPr>
    </w:p>
    <w:p w14:paraId="69842DE4">
      <w:pPr>
        <w:spacing w:line="242" w:lineRule="auto"/>
        <w:rPr>
          <w:rFonts w:ascii="Arial"/>
          <w:sz w:val="21"/>
        </w:rPr>
      </w:pPr>
    </w:p>
    <w:p w14:paraId="225B4C47">
      <w:pPr>
        <w:spacing w:line="242" w:lineRule="auto"/>
        <w:rPr>
          <w:rFonts w:ascii="Arial"/>
          <w:sz w:val="21"/>
        </w:rPr>
      </w:pPr>
    </w:p>
    <w:p w14:paraId="43C3AEE3">
      <w:pPr>
        <w:spacing w:line="242" w:lineRule="auto"/>
        <w:rPr>
          <w:rFonts w:ascii="Arial"/>
          <w:sz w:val="21"/>
        </w:rPr>
      </w:pPr>
    </w:p>
    <w:p w14:paraId="2069B99E">
      <w:pPr>
        <w:spacing w:line="242" w:lineRule="auto"/>
        <w:rPr>
          <w:rFonts w:ascii="Arial"/>
          <w:sz w:val="21"/>
        </w:rPr>
      </w:pPr>
    </w:p>
    <w:p w14:paraId="7400F887">
      <w:pPr>
        <w:spacing w:line="242" w:lineRule="auto"/>
        <w:rPr>
          <w:rFonts w:ascii="Arial"/>
          <w:sz w:val="21"/>
        </w:rPr>
      </w:pPr>
    </w:p>
    <w:p w14:paraId="40979BAA">
      <w:pPr>
        <w:spacing w:line="242" w:lineRule="auto"/>
        <w:rPr>
          <w:rFonts w:ascii="Arial"/>
          <w:sz w:val="21"/>
        </w:rPr>
      </w:pPr>
    </w:p>
    <w:p w14:paraId="6F63CDA4">
      <w:pPr>
        <w:spacing w:line="242" w:lineRule="auto"/>
        <w:rPr>
          <w:rFonts w:ascii="Arial"/>
          <w:sz w:val="21"/>
        </w:rPr>
      </w:pPr>
    </w:p>
    <w:p w14:paraId="179D5018">
      <w:pPr>
        <w:spacing w:line="242" w:lineRule="auto"/>
        <w:rPr>
          <w:rFonts w:ascii="Arial"/>
          <w:sz w:val="21"/>
        </w:rPr>
      </w:pPr>
    </w:p>
    <w:p w14:paraId="1635C56A">
      <w:pPr>
        <w:spacing w:line="242" w:lineRule="auto"/>
        <w:rPr>
          <w:rFonts w:ascii="Arial"/>
          <w:sz w:val="21"/>
        </w:rPr>
      </w:pPr>
    </w:p>
    <w:p w14:paraId="47CB6FD8">
      <w:pPr>
        <w:spacing w:line="243" w:lineRule="auto"/>
        <w:rPr>
          <w:rFonts w:ascii="Arial"/>
          <w:sz w:val="21"/>
        </w:rPr>
      </w:pPr>
    </w:p>
    <w:p w14:paraId="457F8DA0">
      <w:pPr>
        <w:spacing w:line="243" w:lineRule="auto"/>
        <w:rPr>
          <w:rFonts w:ascii="Arial"/>
          <w:sz w:val="21"/>
        </w:rPr>
      </w:pPr>
    </w:p>
    <w:p w14:paraId="2DA87D6D">
      <w:pPr>
        <w:spacing w:before="104" w:line="214" w:lineRule="auto"/>
        <w:ind w:left="20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11"/>
          <w:sz w:val="32"/>
          <w:szCs w:val="32"/>
        </w:rPr>
        <w:t>(主动公开)</w:t>
      </w:r>
    </w:p>
    <w:tbl>
      <w:tblPr>
        <w:tblStyle w:val="5"/>
        <w:tblW w:w="8833" w:type="dxa"/>
        <w:tblInd w:w="7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3"/>
        <w:gridCol w:w="4410"/>
      </w:tblGrid>
      <w:tr w14:paraId="35F33A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833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8942360">
            <w:pPr>
              <w:spacing w:before="117" w:line="219" w:lineRule="auto"/>
              <w:ind w:left="2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22"/>
                <w:sz w:val="32"/>
                <w:szCs w:val="32"/>
              </w:rPr>
              <w:t>抄</w:t>
            </w:r>
            <w:r>
              <w:rPr>
                <w:rFonts w:ascii="宋体" w:hAnsi="宋体" w:eastAsia="宋体" w:cs="宋体"/>
                <w:spacing w:val="-25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2"/>
                <w:sz w:val="32"/>
                <w:szCs w:val="32"/>
              </w:rPr>
              <w:t>送</w:t>
            </w:r>
            <w:r>
              <w:rPr>
                <w:rFonts w:ascii="宋体" w:hAnsi="宋体" w:eastAsia="宋体" w:cs="宋体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2"/>
                <w:sz w:val="32"/>
                <w:szCs w:val="32"/>
              </w:rPr>
              <w:t>：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县市场监督管理局</w:t>
            </w:r>
          </w:p>
        </w:tc>
      </w:tr>
      <w:tr w14:paraId="325AC8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42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35242F5">
            <w:pPr>
              <w:spacing w:before="138" w:line="219" w:lineRule="auto"/>
              <w:ind w:left="13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冠县发展和改革局</w:t>
            </w:r>
          </w:p>
        </w:tc>
        <w:tc>
          <w:tcPr>
            <w:tcW w:w="441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E786550">
            <w:pPr>
              <w:spacing w:before="138" w:line="219" w:lineRule="auto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>2025年4月2日印发</w:t>
            </w:r>
          </w:p>
        </w:tc>
      </w:tr>
    </w:tbl>
    <w:p w14:paraId="4F2C6569">
      <w:pPr>
        <w:rPr>
          <w:rFonts w:ascii="Arial"/>
          <w:sz w:val="21"/>
        </w:rPr>
      </w:pPr>
    </w:p>
    <w:sectPr>
      <w:footerReference r:id="rId7" w:type="default"/>
      <w:pgSz w:w="11900" w:h="16820"/>
      <w:pgMar w:top="1429" w:right="1206" w:bottom="1609" w:left="1785" w:header="0" w:footer="113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5A5A5">
    <w:pPr>
      <w:spacing w:line="234" w:lineRule="auto"/>
      <w:ind w:left="7757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AB39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9BB75">
    <w:pPr>
      <w:spacing w:before="1" w:line="235" w:lineRule="auto"/>
      <w:ind w:left="185"/>
      <w:rPr>
        <w:rFonts w:ascii="宋体" w:hAnsi="宋体" w:eastAsia="宋体" w:cs="宋体"/>
        <w:sz w:val="36"/>
        <w:szCs w:val="36"/>
      </w:rPr>
    </w:pPr>
    <w:r>
      <w:rPr>
        <w:rFonts w:ascii="宋体" w:hAnsi="宋体" w:eastAsia="宋体" w:cs="宋体"/>
        <w:spacing w:val="-4"/>
        <w:sz w:val="36"/>
        <w:szCs w:val="36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DF353E"/>
    <w:rsid w:val="FA7582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1266</Words>
  <Characters>1329</Characters>
  <TotalTime>0</TotalTime>
  <ScaleCrop>false</ScaleCrop>
  <LinksUpToDate>false</LinksUpToDate>
  <CharactersWithSpaces>1369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2026-01-01T00:33:00Z</dcterms:created>
  <dc:creator>uos</dc:creator>
  <cp:lastModifiedBy>cookie</cp:lastModifiedBy>
  <dcterms:modified xsi:type="dcterms:W3CDTF">2025-12-31T09:00:35Z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2025-12-31T16:33:50Z</vt:filetime>
  </property>
  <property fmtid="{D5CDD505-2E9C-101B-9397-08002B2CF9AE}" pid="4" name="UsrData">
    <vt:lpwstr>6954dfebda7715001f942d3ewl</vt:lpwstr>
  </property>
  <property fmtid="{D5CDD505-2E9C-101B-9397-08002B2CF9AE}" pid="5" name="KSOProductBuildVer">
    <vt:lpwstr>2052-12.1.0.24034</vt:lpwstr>
  </property>
  <property fmtid="{D5CDD505-2E9C-101B-9397-08002B2CF9AE}" pid="6" name="ICV">
    <vt:lpwstr>32B96F5AE3A3813291E15469E331DD74_42</vt:lpwstr>
  </property>
  <property fmtid="{D5CDD505-2E9C-101B-9397-08002B2CF9AE}" pid="7" name="KSOTemplateDocerSaveRecord">
    <vt:lpwstr>eyJoZGlkIjoiYmFiYzI2MWM0NWFiMWQ2ODljYjk4YzY5MTQxZGNlN2IiLCJ1c2VySWQiOiI0MjIyMzUzNjYifQ==</vt:lpwstr>
  </property>
</Properties>
</file>