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仿宋_GB2312" w:hAnsi="仿宋_GB2312" w:eastAsia="仿宋_GB2312" w:cs="仿宋_GB2312"/>
          <w:sz w:val="32"/>
          <w:szCs w:val="32"/>
          <w:lang w:eastAsia="zh-CN"/>
        </w:rPr>
      </w:pP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仿宋_GB2312" w:hAnsi="仿宋_GB2312" w:eastAsia="仿宋_GB2312" w:cs="仿宋_GB2312"/>
          <w:sz w:val="32"/>
          <w:szCs w:val="32"/>
          <w:lang w:eastAsia="zh-CN"/>
        </w:rPr>
      </w:pP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仿宋_GB2312" w:hAnsi="仿宋_GB2312" w:eastAsia="仿宋_GB2312" w:cs="仿宋_GB2312"/>
          <w:sz w:val="32"/>
          <w:szCs w:val="32"/>
          <w:lang w:eastAsia="zh-CN"/>
        </w:rPr>
      </w:pP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仿宋_GB2312" w:hAnsi="仿宋_GB2312" w:eastAsia="仿宋_GB2312" w:cs="仿宋_GB2312"/>
          <w:sz w:val="32"/>
          <w:szCs w:val="32"/>
          <w:lang w:eastAsia="zh-CN"/>
        </w:rPr>
      </w:pP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仿宋_GB2312" w:hAnsi="仿宋_GB2312" w:eastAsia="仿宋_GB2312" w:cs="仿宋_GB2312"/>
          <w:sz w:val="32"/>
          <w:szCs w:val="32"/>
          <w:lang w:eastAsia="zh-CN"/>
        </w:rPr>
      </w:pP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仿宋_GB2312" w:hAnsi="仿宋_GB2312" w:eastAsia="仿宋_GB2312" w:cs="仿宋_GB2312"/>
          <w:sz w:val="32"/>
          <w:szCs w:val="32"/>
          <w:lang w:eastAsia="zh-CN"/>
        </w:rPr>
      </w:pP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冠</w:t>
      </w:r>
      <w:r>
        <w:rPr>
          <w:rFonts w:hint="eastAsia" w:ascii="仿宋_GB2312" w:hAnsi="仿宋_GB2312" w:eastAsia="仿宋_GB2312" w:cs="仿宋_GB2312"/>
          <w:sz w:val="32"/>
          <w:szCs w:val="32"/>
        </w:rPr>
        <w:t>政</w:t>
      </w:r>
      <w:r>
        <w:rPr>
          <w:rFonts w:hint="eastAsia" w:ascii="仿宋_GB2312" w:hAnsi="仿宋_GB2312" w:eastAsia="仿宋_GB2312" w:cs="仿宋_GB2312"/>
          <w:sz w:val="32"/>
          <w:szCs w:val="32"/>
          <w:lang w:eastAsia="zh-CN"/>
        </w:rPr>
        <w:t>字</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20</w:t>
      </w:r>
      <w:r>
        <w:rPr>
          <w:rFonts w:hint="eastAsia" w:ascii="仿宋_GB2312" w:hAnsi="仿宋_GB2312" w:eastAsia="仿宋_GB2312" w:cs="仿宋_GB2312"/>
          <w:sz w:val="32"/>
          <w:szCs w:val="32"/>
          <w:lang w:val="en-US" w:eastAsia="zh-CN"/>
        </w:rPr>
        <w:t>24</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43</w:t>
      </w:r>
      <w:r>
        <w:rPr>
          <w:rFonts w:hint="eastAsia" w:ascii="仿宋_GB2312" w:hAnsi="仿宋_GB2312" w:eastAsia="仿宋_GB2312" w:cs="仿宋_GB2312"/>
          <w:sz w:val="32"/>
          <w:szCs w:val="32"/>
        </w:rPr>
        <w:t>号</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pacing w:val="0"/>
          <w:w w:val="100"/>
          <w:sz w:val="44"/>
          <w:szCs w:val="44"/>
          <w:lang w:val="en-US" w:eastAsia="zh-CN"/>
        </w:rPr>
      </w:pP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pacing w:val="0"/>
          <w:w w:val="100"/>
          <w:sz w:val="44"/>
          <w:szCs w:val="44"/>
          <w:lang w:val="en-US" w:eastAsia="zh-CN"/>
        </w:rPr>
      </w:pPr>
    </w:p>
    <w:p>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方正大标宋简体" w:hAnsi="方正大标宋简体" w:eastAsia="方正大标宋简体" w:cs="方正大标宋简体"/>
          <w:spacing w:val="0"/>
          <w:w w:val="100"/>
          <w:sz w:val="44"/>
          <w:szCs w:val="44"/>
          <w:lang w:val="en-US" w:eastAsia="zh-CN"/>
        </w:rPr>
      </w:pPr>
      <w:r>
        <w:rPr>
          <w:rFonts w:hint="eastAsia" w:ascii="方正大标宋简体" w:hAnsi="方正大标宋简体" w:eastAsia="方正大标宋简体" w:cs="方正大标宋简体"/>
          <w:spacing w:val="0"/>
          <w:w w:val="100"/>
          <w:sz w:val="44"/>
          <w:szCs w:val="44"/>
          <w:lang w:val="en-US" w:eastAsia="zh-CN"/>
        </w:rPr>
        <w:t>冠县人民政府</w:t>
      </w:r>
    </w:p>
    <w:p>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方正大标宋简体" w:hAnsi="方正大标宋简体" w:eastAsia="方正大标宋简体" w:cs="方正大标宋简体"/>
          <w:spacing w:val="0"/>
          <w:w w:val="100"/>
          <w:sz w:val="44"/>
          <w:szCs w:val="44"/>
          <w:lang w:val="en-US" w:eastAsia="zh-CN"/>
        </w:rPr>
      </w:pPr>
      <w:r>
        <w:rPr>
          <w:rFonts w:hint="eastAsia" w:ascii="方正大标宋简体" w:hAnsi="方正大标宋简体" w:eastAsia="方正大标宋简体" w:cs="方正大标宋简体"/>
          <w:spacing w:val="0"/>
          <w:w w:val="100"/>
          <w:sz w:val="44"/>
          <w:szCs w:val="44"/>
          <w:lang w:val="en-US" w:eastAsia="zh-CN"/>
        </w:rPr>
        <w:t>关于同意划定冠县烈士陵园等保护范围的</w:t>
      </w:r>
    </w:p>
    <w:p>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方正大标宋简体" w:hAnsi="方正大标宋简体" w:eastAsia="方正大标宋简体" w:cs="方正大标宋简体"/>
          <w:spacing w:val="0"/>
          <w:w w:val="100"/>
          <w:sz w:val="44"/>
          <w:szCs w:val="44"/>
          <w:lang w:val="en-US" w:eastAsia="zh-CN"/>
        </w:rPr>
      </w:pPr>
      <w:r>
        <w:rPr>
          <w:rFonts w:hint="eastAsia" w:ascii="方正大标宋简体" w:hAnsi="方正大标宋简体" w:eastAsia="方正大标宋简体" w:cs="方正大标宋简体"/>
          <w:spacing w:val="0"/>
          <w:w w:val="100"/>
          <w:sz w:val="44"/>
          <w:szCs w:val="44"/>
          <w:lang w:val="en-US" w:eastAsia="zh-CN"/>
        </w:rPr>
        <w:t>批   复</w:t>
      </w: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县退役军人事务局：</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你局《关于划定冠县烈士陵园等保护范围的请示》(冠退役军人字〔2024〕4号)收悉，经县政府研究，现批复如下:</w:t>
      </w:r>
    </w:p>
    <w:p>
      <w:pPr>
        <w:pStyle w:val="6"/>
        <w:keepNext w:val="0"/>
        <w:keepLines w:val="0"/>
        <w:pageBreakBefore w:val="0"/>
        <w:widowControl w:val="0"/>
        <w:suppressLineNumbers w:val="0"/>
        <w:kinsoku/>
        <w:wordWrap/>
        <w:overflowPunct/>
        <w:topLinePunct w:val="0"/>
        <w:autoSpaceDE/>
        <w:autoSpaceDN/>
        <w:bidi w:val="0"/>
        <w:adjustRightInd/>
        <w:snapToGrid/>
        <w:spacing w:beforeAutospacing="0" w:afterAutospacing="0" w:line="540" w:lineRule="exact"/>
        <w:ind w:firstLine="640" w:firstLineChars="200"/>
        <w:jc w:val="both"/>
        <w:textAlignment w:val="auto"/>
        <w:rPr>
          <w:rStyle w:val="9"/>
          <w:rFonts w:hint="eastAsia" w:ascii="仿宋_GB2312" w:hAnsi="仿宋_GB2312" w:eastAsia="仿宋_GB2312" w:cs="仿宋_GB2312"/>
          <w:b w:val="0"/>
          <w:bCs/>
          <w:sz w:val="32"/>
          <w:szCs w:val="32"/>
        </w:rPr>
      </w:pPr>
      <w:r>
        <w:rPr>
          <w:rFonts w:hint="eastAsia" w:ascii="仿宋_GB2312" w:hAnsi="仿宋_GB2312" w:eastAsia="仿宋_GB2312" w:cs="仿宋_GB2312"/>
          <w:sz w:val="32"/>
          <w:szCs w:val="32"/>
          <w:lang w:val="en-US" w:eastAsia="zh-CN"/>
        </w:rPr>
        <w:t>一、原则同意划定冠县烈士陵园保护范围。</w:t>
      </w:r>
      <w:r>
        <w:rPr>
          <w:rFonts w:hint="eastAsia" w:ascii="仿宋_GB2312" w:hAnsi="仿宋_GB2312" w:eastAsia="仿宋_GB2312" w:cs="仿宋_GB2312"/>
          <w:sz w:val="32"/>
          <w:szCs w:val="32"/>
        </w:rPr>
        <w:t>保护范围以</w:t>
      </w:r>
      <w:r>
        <w:rPr>
          <w:rFonts w:hint="eastAsia" w:ascii="仿宋_GB2312" w:hAnsi="仿宋_GB2312" w:eastAsia="仿宋_GB2312" w:cs="仿宋_GB2312"/>
          <w:sz w:val="32"/>
          <w:szCs w:val="32"/>
          <w:lang w:val="en-US" w:eastAsia="zh-CN"/>
        </w:rPr>
        <w:t>冠县烈士陵园用地勘测定界图</w:t>
      </w:r>
      <w:r>
        <w:rPr>
          <w:rFonts w:hint="eastAsia" w:ascii="仿宋_GB2312" w:hAnsi="仿宋_GB2312" w:eastAsia="仿宋_GB2312" w:cs="仿宋_GB2312"/>
          <w:sz w:val="32"/>
          <w:szCs w:val="32"/>
        </w:rPr>
        <w:t>为</w:t>
      </w:r>
      <w:r>
        <w:rPr>
          <w:rFonts w:hint="eastAsia" w:ascii="仿宋_GB2312" w:hAnsi="仿宋_GB2312" w:eastAsia="仿宋_GB2312" w:cs="仿宋_GB2312"/>
          <w:sz w:val="32"/>
          <w:szCs w:val="32"/>
          <w:lang w:val="en-US" w:eastAsia="zh-CN"/>
        </w:rPr>
        <w:t>准，总</w:t>
      </w:r>
      <w:r>
        <w:rPr>
          <w:rFonts w:hint="eastAsia" w:ascii="仿宋_GB2312" w:hAnsi="仿宋_GB2312" w:eastAsia="仿宋_GB2312" w:cs="仿宋_GB2312"/>
          <w:sz w:val="32"/>
          <w:szCs w:val="32"/>
        </w:rPr>
        <w:t>面积为</w:t>
      </w:r>
      <w:r>
        <w:rPr>
          <w:rFonts w:hint="eastAsia" w:ascii="仿宋_GB2312" w:hAnsi="仿宋_GB2312" w:eastAsia="仿宋_GB2312" w:cs="仿宋_GB2312"/>
          <w:sz w:val="32"/>
          <w:szCs w:val="32"/>
          <w:lang w:val="en-US" w:eastAsia="zh-CN"/>
        </w:rPr>
        <w:t>39482.34</w:t>
      </w:r>
      <w:r>
        <w:rPr>
          <w:rFonts w:hint="eastAsia" w:ascii="仿宋_GB2312" w:hAnsi="仿宋_GB2312" w:eastAsia="仿宋_GB2312" w:cs="仿宋_GB2312"/>
          <w:sz w:val="32"/>
          <w:szCs w:val="32"/>
        </w:rPr>
        <w:t>平方米。</w:t>
      </w:r>
    </w:p>
    <w:p>
      <w:pPr>
        <w:pStyle w:val="6"/>
        <w:keepNext w:val="0"/>
        <w:keepLines w:val="0"/>
        <w:pageBreakBefore w:val="0"/>
        <w:widowControl w:val="0"/>
        <w:suppressLineNumbers w:val="0"/>
        <w:kinsoku/>
        <w:wordWrap/>
        <w:overflowPunct/>
        <w:topLinePunct w:val="0"/>
        <w:autoSpaceDE/>
        <w:autoSpaceDN/>
        <w:bidi w:val="0"/>
        <w:adjustRightInd/>
        <w:snapToGrid/>
        <w:spacing w:beforeAutospacing="0" w:afterAutospacing="0" w:line="54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二、原则同意划定冠县六十二烈士纪念馆保护范围。</w:t>
      </w:r>
      <w:r>
        <w:rPr>
          <w:rFonts w:hint="eastAsia" w:ascii="仿宋_GB2312" w:hAnsi="仿宋_GB2312" w:eastAsia="仿宋_GB2312" w:cs="仿宋_GB2312"/>
          <w:sz w:val="32"/>
          <w:szCs w:val="32"/>
        </w:rPr>
        <w:t>保护范围以</w:t>
      </w:r>
      <w:r>
        <w:rPr>
          <w:rFonts w:hint="eastAsia" w:ascii="仿宋_GB2312" w:hAnsi="仿宋_GB2312" w:eastAsia="仿宋_GB2312" w:cs="仿宋_GB2312"/>
          <w:sz w:val="32"/>
          <w:szCs w:val="32"/>
          <w:lang w:val="en-US" w:eastAsia="zh-CN"/>
        </w:rPr>
        <w:t>冠县六十二烈士纪念馆用地勘测定界图</w:t>
      </w:r>
      <w:r>
        <w:rPr>
          <w:rFonts w:hint="eastAsia" w:ascii="仿宋_GB2312" w:hAnsi="仿宋_GB2312" w:eastAsia="仿宋_GB2312" w:cs="仿宋_GB2312"/>
          <w:sz w:val="32"/>
          <w:szCs w:val="32"/>
        </w:rPr>
        <w:t>为</w:t>
      </w:r>
      <w:r>
        <w:rPr>
          <w:rFonts w:hint="eastAsia" w:ascii="仿宋_GB2312" w:hAnsi="仿宋_GB2312" w:eastAsia="仿宋_GB2312" w:cs="仿宋_GB2312"/>
          <w:sz w:val="32"/>
          <w:szCs w:val="32"/>
          <w:lang w:val="en-US" w:eastAsia="zh-CN"/>
        </w:rPr>
        <w:t>准，总</w:t>
      </w:r>
      <w:r>
        <w:rPr>
          <w:rFonts w:hint="eastAsia" w:ascii="仿宋_GB2312" w:hAnsi="仿宋_GB2312" w:eastAsia="仿宋_GB2312" w:cs="仿宋_GB2312"/>
          <w:sz w:val="32"/>
          <w:szCs w:val="32"/>
        </w:rPr>
        <w:t>面积为</w:t>
      </w:r>
      <w:r>
        <w:rPr>
          <w:rFonts w:hint="eastAsia" w:ascii="仿宋_GB2312" w:hAnsi="仿宋_GB2312" w:eastAsia="仿宋_GB2312" w:cs="仿宋_GB2312"/>
          <w:sz w:val="32"/>
          <w:szCs w:val="32"/>
          <w:lang w:val="en-US" w:eastAsia="zh-CN"/>
        </w:rPr>
        <w:t>6837</w:t>
      </w:r>
      <w:r>
        <w:rPr>
          <w:rFonts w:hint="eastAsia" w:ascii="仿宋_GB2312" w:hAnsi="仿宋_GB2312" w:eastAsia="仿宋_GB2312" w:cs="仿宋_GB2312"/>
          <w:sz w:val="32"/>
          <w:szCs w:val="32"/>
        </w:rPr>
        <w:t>平方米。</w:t>
      </w:r>
    </w:p>
    <w:p>
      <w:pPr>
        <w:pStyle w:val="6"/>
        <w:keepNext w:val="0"/>
        <w:keepLines w:val="0"/>
        <w:pageBreakBefore w:val="0"/>
        <w:widowControl w:val="0"/>
        <w:suppressLineNumbers w:val="0"/>
        <w:kinsoku/>
        <w:wordWrap/>
        <w:overflowPunct/>
        <w:topLinePunct w:val="0"/>
        <w:autoSpaceDE/>
        <w:autoSpaceDN/>
        <w:bidi w:val="0"/>
        <w:adjustRightInd/>
        <w:snapToGrid/>
        <w:spacing w:beforeAutospacing="0" w:afterAutospacing="0" w:line="54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三、原则同意划定冠县白佛头烈士集中安葬区保护范围。</w:t>
      </w:r>
      <w:r>
        <w:rPr>
          <w:rFonts w:hint="eastAsia" w:ascii="仿宋_GB2312" w:hAnsi="仿宋_GB2312" w:eastAsia="仿宋_GB2312" w:cs="仿宋_GB2312"/>
          <w:sz w:val="32"/>
          <w:szCs w:val="32"/>
        </w:rPr>
        <w:t>保护范围以</w:t>
      </w:r>
      <w:r>
        <w:rPr>
          <w:rFonts w:hint="eastAsia" w:ascii="仿宋_GB2312" w:hAnsi="仿宋_GB2312" w:eastAsia="仿宋_GB2312" w:cs="仿宋_GB2312"/>
          <w:sz w:val="32"/>
          <w:szCs w:val="32"/>
          <w:lang w:val="en-US" w:eastAsia="zh-CN"/>
        </w:rPr>
        <w:t>冠县白佛头烈士集中安葬区用地勘测定界图</w:t>
      </w:r>
      <w:r>
        <w:rPr>
          <w:rFonts w:hint="eastAsia" w:ascii="仿宋_GB2312" w:hAnsi="仿宋_GB2312" w:eastAsia="仿宋_GB2312" w:cs="仿宋_GB2312"/>
          <w:sz w:val="32"/>
          <w:szCs w:val="32"/>
        </w:rPr>
        <w:t>为</w:t>
      </w:r>
      <w:r>
        <w:rPr>
          <w:rFonts w:hint="eastAsia" w:ascii="仿宋_GB2312" w:hAnsi="仿宋_GB2312" w:eastAsia="仿宋_GB2312" w:cs="仿宋_GB2312"/>
          <w:sz w:val="32"/>
          <w:szCs w:val="32"/>
          <w:lang w:val="en-US" w:eastAsia="zh-CN"/>
        </w:rPr>
        <w:t>准，总</w:t>
      </w:r>
      <w:r>
        <w:rPr>
          <w:rFonts w:hint="eastAsia" w:ascii="仿宋_GB2312" w:hAnsi="仿宋_GB2312" w:eastAsia="仿宋_GB2312" w:cs="仿宋_GB2312"/>
          <w:sz w:val="32"/>
          <w:szCs w:val="32"/>
        </w:rPr>
        <w:t>面积为</w:t>
      </w:r>
      <w:r>
        <w:rPr>
          <w:rFonts w:hint="eastAsia" w:ascii="仿宋_GB2312" w:hAnsi="仿宋_GB2312" w:eastAsia="仿宋_GB2312" w:cs="仿宋_GB2312"/>
          <w:sz w:val="32"/>
          <w:szCs w:val="32"/>
          <w:lang w:val="en-US" w:eastAsia="zh-CN"/>
        </w:rPr>
        <w:t>8793.88</w:t>
      </w:r>
      <w:r>
        <w:rPr>
          <w:rFonts w:hint="eastAsia" w:ascii="仿宋_GB2312" w:hAnsi="仿宋_GB2312" w:eastAsia="仿宋_GB2312" w:cs="仿宋_GB2312"/>
          <w:sz w:val="32"/>
          <w:szCs w:val="32"/>
        </w:rPr>
        <w:t>平方米。</w:t>
      </w:r>
    </w:p>
    <w:p>
      <w:pPr>
        <w:pStyle w:val="3"/>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四、原则同意划定冠县北馆陶镇张庄烈士纪念园保护范围。</w:t>
      </w:r>
      <w:r>
        <w:rPr>
          <w:rFonts w:hint="eastAsia" w:ascii="仿宋_GB2312" w:hAnsi="仿宋_GB2312" w:eastAsia="仿宋_GB2312" w:cs="仿宋_GB2312"/>
          <w:sz w:val="32"/>
          <w:szCs w:val="32"/>
        </w:rPr>
        <w:t>保护范围以</w:t>
      </w:r>
      <w:r>
        <w:rPr>
          <w:rFonts w:hint="eastAsia" w:ascii="仿宋_GB2312" w:hAnsi="仿宋_GB2312" w:eastAsia="仿宋_GB2312" w:cs="仿宋_GB2312"/>
          <w:sz w:val="32"/>
          <w:szCs w:val="32"/>
          <w:lang w:val="en-US" w:eastAsia="zh-CN"/>
        </w:rPr>
        <w:t>冠县北馆陶镇张庄烈士纪念园用地勘测定界图</w:t>
      </w:r>
      <w:r>
        <w:rPr>
          <w:rFonts w:hint="eastAsia" w:ascii="仿宋_GB2312" w:hAnsi="仿宋_GB2312" w:eastAsia="仿宋_GB2312" w:cs="仿宋_GB2312"/>
          <w:sz w:val="32"/>
          <w:szCs w:val="32"/>
        </w:rPr>
        <w:t>为</w:t>
      </w:r>
      <w:r>
        <w:rPr>
          <w:rFonts w:hint="eastAsia" w:ascii="仿宋_GB2312" w:hAnsi="仿宋_GB2312" w:eastAsia="仿宋_GB2312" w:cs="仿宋_GB2312"/>
          <w:sz w:val="32"/>
          <w:szCs w:val="32"/>
          <w:lang w:val="en-US" w:eastAsia="zh-CN"/>
        </w:rPr>
        <w:t>准，总</w:t>
      </w:r>
      <w:r>
        <w:rPr>
          <w:rFonts w:hint="eastAsia" w:ascii="仿宋_GB2312" w:hAnsi="仿宋_GB2312" w:eastAsia="仿宋_GB2312" w:cs="仿宋_GB2312"/>
          <w:sz w:val="32"/>
          <w:szCs w:val="32"/>
        </w:rPr>
        <w:t>面积为</w:t>
      </w:r>
      <w:r>
        <w:rPr>
          <w:rFonts w:hint="eastAsia" w:ascii="仿宋_GB2312" w:hAnsi="仿宋_GB2312" w:eastAsia="仿宋_GB2312" w:cs="仿宋_GB2312"/>
          <w:sz w:val="32"/>
          <w:szCs w:val="32"/>
          <w:lang w:val="en-US" w:eastAsia="zh-CN"/>
        </w:rPr>
        <w:t>619.6</w:t>
      </w:r>
      <w:r>
        <w:rPr>
          <w:rFonts w:hint="eastAsia" w:ascii="仿宋_GB2312" w:hAnsi="仿宋_GB2312" w:eastAsia="仿宋_GB2312" w:cs="仿宋_GB2312"/>
          <w:sz w:val="32"/>
          <w:szCs w:val="32"/>
        </w:rPr>
        <w:t>平方米。</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Times New Roman" w:hAnsi="Times New Roman" w:eastAsia="仿宋_GB2312" w:cs="Times New Roman"/>
          <w:sz w:val="32"/>
          <w:szCs w:val="32"/>
          <w:lang w:val="en-US" w:eastAsia="zh-CN"/>
        </w:rPr>
        <w:t>五、县退役军人局作为管理单位，要严格按照</w:t>
      </w:r>
      <w:r>
        <w:rPr>
          <w:rFonts w:hint="eastAsia" w:ascii="仿宋_GB2312" w:hAnsi="仿宋_GB2312" w:eastAsia="仿宋_GB2312" w:cs="仿宋_GB2312"/>
          <w:sz w:val="32"/>
          <w:szCs w:val="32"/>
          <w:lang w:eastAsia="zh-CN"/>
        </w:rPr>
        <w:t>《退役军人事务部关于发挥基层退役军人服务机构作用进一步做好零散烈士纪念设施保护管理的意见》（退役军人部发〔2023〕34号）</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山东省烈士纪念设施保护管理办法</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（鲁退役军人发</w:t>
      </w:r>
      <w:r>
        <w:rPr>
          <w:rFonts w:hint="eastAsia" w:ascii="仿宋_GB2312" w:hAnsi="仿宋_GB2312" w:eastAsia="仿宋_GB2312" w:cs="仿宋_GB2312"/>
          <w:sz w:val="32"/>
          <w:szCs w:val="32"/>
          <w:lang w:eastAsia="zh-CN"/>
        </w:rPr>
        <w:t>〔2023〕</w:t>
      </w:r>
      <w:r>
        <w:rPr>
          <w:rFonts w:hint="eastAsia" w:ascii="仿宋_GB2312" w:hAnsi="仿宋_GB2312" w:eastAsia="仿宋_GB2312" w:cs="仿宋_GB2312"/>
          <w:sz w:val="32"/>
          <w:szCs w:val="32"/>
          <w:lang w:val="en-US" w:eastAsia="zh-CN"/>
        </w:rPr>
        <w:t>45号）《聊城市烈士纪念设施保护管理办法》（聊城市人民政府第38号令）等文件</w:t>
      </w:r>
      <w:r>
        <w:rPr>
          <w:rFonts w:hint="eastAsia" w:ascii="Times New Roman" w:hAnsi="Times New Roman" w:eastAsia="仿宋_GB2312" w:cs="Times New Roman"/>
          <w:sz w:val="32"/>
          <w:szCs w:val="32"/>
          <w:lang w:val="en-US" w:eastAsia="zh-CN"/>
        </w:rPr>
        <w:t>相关规定，</w:t>
      </w:r>
      <w:r>
        <w:rPr>
          <w:rFonts w:hint="eastAsia" w:ascii="仿宋_GB2312" w:hAnsi="仿宋_GB2312" w:eastAsia="仿宋_GB2312" w:cs="仿宋_GB2312"/>
          <w:sz w:val="32"/>
          <w:szCs w:val="32"/>
          <w:lang w:val="en-US" w:eastAsia="zh-CN"/>
        </w:rPr>
        <w:t>烈士纪念设施保护范围内的土地和设施受法律保护,任何组织和个人不得在烈士纪念设施保护范围内从事与纪念英烈无关或者有损纪念英烈环境和氛围的活动,不得侵占烈士纪念设施保护范围内的土地和设施,不得破坏、污损烈士纪念设施。在烈士纪念设施保护范围内从事有损纪念英烈环境和氛围活动的,烈士纪念设施保护单位和管理单位应当及时劝阻,不听劝阻的,由县级以上人民政府退役军人工作主管部门会同有关部门按照有关规定给予批评教育,责令改正,恢复原状、原貌;造成损失的,依法承担民事责任;构成犯罪的,依法追究刑事责任。</w:t>
      </w:r>
    </w:p>
    <w:p>
      <w:pPr>
        <w:keepNext w:val="0"/>
        <w:keepLines w:val="0"/>
        <w:pageBreakBefore w:val="0"/>
        <w:widowControl w:val="0"/>
        <w:kinsoku/>
        <w:wordWrap/>
        <w:overflowPunct/>
        <w:topLinePunct w:val="0"/>
        <w:autoSpaceDE/>
        <w:autoSpaceDN/>
        <w:bidi w:val="0"/>
        <w:adjustRightInd/>
        <w:snapToGrid/>
        <w:spacing w:line="540" w:lineRule="exact"/>
        <w:jc w:val="left"/>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600" w:lineRule="exact"/>
        <w:jc w:val="left"/>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 xml:space="preserve">                            冠县人民政府</w:t>
      </w:r>
    </w:p>
    <w:p>
      <w:pPr>
        <w:keepNext w:val="0"/>
        <w:keepLines w:val="0"/>
        <w:pageBreakBefore w:val="0"/>
        <w:widowControl w:val="0"/>
        <w:kinsoku/>
        <w:wordWrap/>
        <w:overflowPunct/>
        <w:topLinePunct w:val="0"/>
        <w:autoSpaceDE/>
        <w:autoSpaceDN/>
        <w:bidi w:val="0"/>
        <w:adjustRightInd/>
        <w:snapToGrid/>
        <w:spacing w:line="600" w:lineRule="exact"/>
        <w:ind w:firstLine="572" w:firstLineChars="179"/>
        <w:jc w:val="left"/>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 xml:space="preserve">                           2024年7月3日</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jc w:val="left"/>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（此件公开发布）</w:t>
      </w:r>
    </w:p>
    <w:p>
      <w:pPr>
        <w:pStyle w:val="2"/>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p>
    <w:p>
      <w:pPr>
        <w:pStyle w:val="3"/>
        <w:keepNext w:val="0"/>
        <w:keepLines w:val="0"/>
        <w:pageBreakBefore w:val="0"/>
        <w:widowControl w:val="0"/>
        <w:kinsoku/>
        <w:wordWrap/>
        <w:overflowPunct/>
        <w:topLinePunct w:val="0"/>
        <w:autoSpaceDE/>
        <w:autoSpaceDN/>
        <w:bidi w:val="0"/>
        <w:adjustRightInd/>
        <w:snapToGrid/>
        <w:spacing w:before="313" w:beforeLines="100" w:line="600" w:lineRule="exact"/>
        <w:textAlignment w:val="auto"/>
        <w:rPr>
          <w:rFonts w:hint="eastAsia"/>
          <w:color w:val="000000" w:themeColor="text1"/>
          <w:sz w:val="36"/>
          <w:szCs w:val="36"/>
          <w14:textFill>
            <w14:solidFill>
              <w14:schemeClr w14:val="tx1"/>
            </w14:solidFill>
          </w14:textFill>
        </w:rPr>
      </w:pPr>
    </w:p>
    <w:p>
      <w:pPr>
        <w:pStyle w:val="3"/>
        <w:keepNext w:val="0"/>
        <w:keepLines w:val="0"/>
        <w:pageBreakBefore w:val="0"/>
        <w:widowControl w:val="0"/>
        <w:kinsoku/>
        <w:wordWrap/>
        <w:overflowPunct/>
        <w:topLinePunct w:val="0"/>
        <w:autoSpaceDE/>
        <w:autoSpaceDN/>
        <w:bidi w:val="0"/>
        <w:adjustRightInd/>
        <w:snapToGrid/>
        <w:spacing w:before="313" w:beforeLines="100" w:line="600" w:lineRule="exact"/>
        <w:textAlignment w:val="auto"/>
        <w:rPr>
          <w:rFonts w:hint="eastAsia"/>
          <w:color w:val="000000" w:themeColor="text1"/>
          <w:sz w:val="36"/>
          <w:szCs w:val="36"/>
          <w14:textFill>
            <w14:solidFill>
              <w14:schemeClr w14:val="tx1"/>
            </w14:solidFill>
          </w14:textFill>
        </w:rPr>
      </w:pPr>
    </w:p>
    <w:p>
      <w:pPr>
        <w:pStyle w:val="3"/>
        <w:keepNext w:val="0"/>
        <w:keepLines w:val="0"/>
        <w:pageBreakBefore w:val="0"/>
        <w:widowControl w:val="0"/>
        <w:kinsoku/>
        <w:wordWrap/>
        <w:overflowPunct/>
        <w:topLinePunct w:val="0"/>
        <w:autoSpaceDE/>
        <w:autoSpaceDN/>
        <w:bidi w:val="0"/>
        <w:adjustRightInd/>
        <w:snapToGrid/>
        <w:spacing w:before="313" w:beforeLines="100" w:line="600" w:lineRule="exact"/>
        <w:textAlignment w:val="auto"/>
        <w:rPr>
          <w:rFonts w:hint="eastAsia"/>
          <w:color w:val="000000" w:themeColor="text1"/>
          <w:sz w:val="36"/>
          <w:szCs w:val="36"/>
          <w14:textFill>
            <w14:solidFill>
              <w14:schemeClr w14:val="tx1"/>
            </w14:solidFill>
          </w14:textFill>
        </w:rPr>
      </w:pPr>
    </w:p>
    <w:p>
      <w:pPr>
        <w:pStyle w:val="3"/>
        <w:keepNext w:val="0"/>
        <w:keepLines w:val="0"/>
        <w:pageBreakBefore w:val="0"/>
        <w:widowControl w:val="0"/>
        <w:kinsoku/>
        <w:wordWrap/>
        <w:overflowPunct/>
        <w:topLinePunct w:val="0"/>
        <w:autoSpaceDE/>
        <w:autoSpaceDN/>
        <w:bidi w:val="0"/>
        <w:adjustRightInd/>
        <w:snapToGrid/>
        <w:spacing w:before="313" w:beforeLines="100" w:line="600" w:lineRule="exact"/>
        <w:textAlignment w:val="auto"/>
        <w:rPr>
          <w:rFonts w:hint="eastAsia"/>
          <w:color w:val="000000" w:themeColor="text1"/>
          <w:sz w:val="36"/>
          <w:szCs w:val="36"/>
          <w14:textFill>
            <w14:solidFill>
              <w14:schemeClr w14:val="tx1"/>
            </w14:solidFill>
          </w14:textFill>
        </w:rPr>
      </w:pPr>
    </w:p>
    <w:p>
      <w:pPr>
        <w:pStyle w:val="3"/>
        <w:keepNext w:val="0"/>
        <w:keepLines w:val="0"/>
        <w:pageBreakBefore w:val="0"/>
        <w:widowControl w:val="0"/>
        <w:kinsoku/>
        <w:wordWrap/>
        <w:overflowPunct/>
        <w:topLinePunct w:val="0"/>
        <w:autoSpaceDE/>
        <w:autoSpaceDN/>
        <w:bidi w:val="0"/>
        <w:adjustRightInd/>
        <w:snapToGrid/>
        <w:spacing w:before="625" w:beforeLines="200" w:line="600" w:lineRule="exact"/>
        <w:textAlignment w:val="auto"/>
        <w:rPr>
          <w:rFonts w:hint="eastAsia"/>
          <w:color w:val="000000" w:themeColor="text1"/>
          <w:sz w:val="36"/>
          <w:szCs w:val="36"/>
          <w14:textFill>
            <w14:solidFill>
              <w14:schemeClr w14:val="tx1"/>
            </w14:solidFill>
          </w14:textFill>
        </w:rPr>
      </w:pPr>
    </w:p>
    <w:p>
      <w:pPr>
        <w:pStyle w:val="3"/>
        <w:keepNext w:val="0"/>
        <w:keepLines w:val="0"/>
        <w:pageBreakBefore w:val="0"/>
        <w:widowControl w:val="0"/>
        <w:kinsoku/>
        <w:wordWrap/>
        <w:overflowPunct/>
        <w:topLinePunct w:val="0"/>
        <w:autoSpaceDE/>
        <w:autoSpaceDN/>
        <w:bidi w:val="0"/>
        <w:adjustRightInd/>
        <w:snapToGrid/>
        <w:spacing w:before="625" w:beforeLines="200" w:line="600" w:lineRule="exact"/>
        <w:textAlignment w:val="auto"/>
        <w:rPr>
          <w:rFonts w:hint="eastAsia"/>
          <w:color w:val="000000" w:themeColor="text1"/>
          <w:sz w:val="36"/>
          <w:szCs w:val="36"/>
          <w14:textFill>
            <w14:solidFill>
              <w14:schemeClr w14:val="tx1"/>
            </w14:solidFill>
          </w14:textFill>
        </w:rPr>
      </w:pPr>
    </w:p>
    <w:p>
      <w:pPr>
        <w:pStyle w:val="3"/>
        <w:keepNext w:val="0"/>
        <w:keepLines w:val="0"/>
        <w:pageBreakBefore w:val="0"/>
        <w:widowControl w:val="0"/>
        <w:kinsoku/>
        <w:wordWrap/>
        <w:overflowPunct/>
        <w:topLinePunct w:val="0"/>
        <w:autoSpaceDE/>
        <w:autoSpaceDN/>
        <w:bidi w:val="0"/>
        <w:adjustRightInd/>
        <w:snapToGrid/>
        <w:spacing w:before="625" w:beforeLines="200" w:line="600" w:lineRule="exact"/>
        <w:textAlignment w:val="auto"/>
        <w:rPr>
          <w:rFonts w:hint="eastAsia"/>
          <w:color w:val="000000" w:themeColor="text1"/>
          <w:sz w:val="36"/>
          <w:szCs w:val="36"/>
          <w14:textFill>
            <w14:solidFill>
              <w14:schemeClr w14:val="tx1"/>
            </w14:solidFill>
          </w14:textFill>
        </w:rPr>
      </w:pPr>
      <w:bookmarkStart w:id="0" w:name="_GoBack"/>
      <w:bookmarkEnd w:id="0"/>
    </w:p>
    <w:p>
      <w:pPr>
        <w:pStyle w:val="3"/>
        <w:keepNext w:val="0"/>
        <w:keepLines w:val="0"/>
        <w:pageBreakBefore w:val="0"/>
        <w:widowControl w:val="0"/>
        <w:kinsoku/>
        <w:wordWrap/>
        <w:overflowPunct/>
        <w:topLinePunct w:val="0"/>
        <w:autoSpaceDE/>
        <w:autoSpaceDN/>
        <w:bidi w:val="0"/>
        <w:adjustRightInd/>
        <w:snapToGrid/>
        <w:spacing w:before="313" w:beforeLines="100" w:line="600" w:lineRule="exact"/>
        <w:textAlignment w:val="auto"/>
        <w:rPr>
          <w:rFonts w:hint="eastAsia"/>
          <w:color w:val="000000" w:themeColor="text1"/>
          <w:sz w:val="36"/>
          <w:szCs w:val="36"/>
          <w14:textFill>
            <w14:solidFill>
              <w14:schemeClr w14:val="tx1"/>
            </w14:solidFill>
          </w14:textFill>
        </w:rPr>
      </w:pPr>
    </w:p>
    <w:p>
      <w:pPr>
        <w:pStyle w:val="3"/>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color w:val="000000" w:themeColor="text1"/>
          <w:sz w:val="36"/>
          <w:szCs w:val="36"/>
          <w14:textFill>
            <w14:solidFill>
              <w14:schemeClr w14:val="tx1"/>
            </w14:solidFill>
          </w14:textFill>
        </w:rPr>
      </w:pPr>
    </w:p>
    <w:p>
      <w:pPr>
        <w:pStyle w:val="3"/>
        <w:keepNext w:val="0"/>
        <w:keepLines w:val="0"/>
        <w:pageBreakBefore w:val="0"/>
        <w:widowControl w:val="0"/>
        <w:kinsoku/>
        <w:wordWrap/>
        <w:overflowPunct/>
        <w:topLinePunct w:val="0"/>
        <w:autoSpaceDE/>
        <w:autoSpaceDN/>
        <w:bidi w:val="0"/>
        <w:adjustRightInd/>
        <w:snapToGrid/>
        <w:spacing w:before="625" w:beforeLines="200" w:line="600" w:lineRule="exact"/>
        <w:textAlignment w:val="auto"/>
        <w:rPr>
          <w:rFonts w:hint="eastAsia"/>
          <w:color w:val="000000" w:themeColor="text1"/>
          <w:sz w:val="36"/>
          <w:szCs w:val="36"/>
          <w14:textFill>
            <w14:solidFill>
              <w14:schemeClr w14:val="tx1"/>
            </w14:solidFill>
          </w14:textFill>
        </w:rPr>
      </w:pPr>
    </w:p>
    <w:p>
      <w:pPr>
        <w:pStyle w:val="3"/>
        <w:keepNext w:val="0"/>
        <w:keepLines w:val="0"/>
        <w:pageBreakBefore w:val="0"/>
        <w:widowControl w:val="0"/>
        <w:kinsoku/>
        <w:wordWrap/>
        <w:overflowPunct/>
        <w:topLinePunct w:val="0"/>
        <w:autoSpaceDE/>
        <w:autoSpaceDN/>
        <w:bidi w:val="0"/>
        <w:adjustRightInd/>
        <w:snapToGrid/>
        <w:spacing w:before="625" w:beforeLines="200" w:line="600" w:lineRule="exact"/>
        <w:textAlignment w:val="auto"/>
        <w:rPr>
          <w:rFonts w:hint="eastAsia"/>
          <w:color w:val="000000" w:themeColor="text1"/>
          <w:sz w:val="36"/>
          <w:szCs w:val="36"/>
          <w14:textFill>
            <w14:solidFill>
              <w14:schemeClr w14:val="tx1"/>
            </w14:solidFill>
          </w14:textFill>
        </w:rPr>
      </w:pPr>
    </w:p>
    <w:p>
      <w:pPr>
        <w:keepNext w:val="0"/>
        <w:keepLines w:val="0"/>
        <w:pageBreakBefore w:val="0"/>
        <w:widowControl w:val="0"/>
        <w:suppressLineNumbers w:val="0"/>
        <w:kinsoku/>
        <w:wordWrap w:val="0"/>
        <w:overflowPunct/>
        <w:topLinePunct w:val="0"/>
        <w:autoSpaceDE/>
        <w:autoSpaceDN/>
        <w:bidi w:val="0"/>
        <w:adjustRightInd/>
        <w:snapToGrid/>
        <w:spacing w:beforeAutospacing="0" w:afterAutospacing="0" w:line="600" w:lineRule="exact"/>
        <w:ind w:left="0" w:right="0"/>
        <w:jc w:val="center"/>
        <w:textAlignment w:val="auto"/>
        <w:rPr>
          <w:rFonts w:hint="eastAsia" w:ascii="仿宋_GB2312" w:hAnsi="仿宋_GB2312" w:eastAsia="仿宋_GB2312" w:cs="仿宋_GB2312"/>
          <w:color w:val="000000" w:themeColor="text1"/>
          <w:sz w:val="32"/>
          <w:szCs w:val="32"/>
          <w:lang w:val="en-US"/>
          <w14:textFill>
            <w14:solidFill>
              <w14:schemeClr w14:val="tx1"/>
            </w14:solidFill>
          </w14:textFill>
        </w:rPr>
      </w:pPr>
      <w:r>
        <w:rPr>
          <w:rFonts w:hint="default" w:ascii="Calibri" w:hAnsi="Calibri" w:eastAsia="宋体" w:cs="Times New Roman"/>
          <w:color w:val="000000" w:themeColor="text1"/>
          <w:kern w:val="2"/>
          <w:sz w:val="21"/>
          <w:szCs w:val="24"/>
          <w:lang w:val="en-US" w:eastAsia="zh-CN" w:bidi="ar"/>
          <w14:textFill>
            <w14:solidFill>
              <w14:schemeClr w14:val="tx1"/>
            </w14:solidFill>
          </w14:textFill>
        </w:rPr>
        <mc:AlternateContent>
          <mc:Choice Requires="wps">
            <w:drawing>
              <wp:anchor distT="0" distB="0" distL="114300" distR="114300" simplePos="0" relativeHeight="251659264" behindDoc="0" locked="0" layoutInCell="1" allowOverlap="1">
                <wp:simplePos x="0" y="0"/>
                <wp:positionH relativeFrom="column">
                  <wp:posOffset>-5080</wp:posOffset>
                </wp:positionH>
                <wp:positionV relativeFrom="paragraph">
                  <wp:posOffset>6350</wp:posOffset>
                </wp:positionV>
                <wp:extent cx="5334000" cy="635"/>
                <wp:effectExtent l="0" t="0" r="0" b="0"/>
                <wp:wrapNone/>
                <wp:docPr id="2" name="直接连接符 2"/>
                <wp:cNvGraphicFramePr/>
                <a:graphic xmlns:a="http://schemas.openxmlformats.org/drawingml/2006/main">
                  <a:graphicData uri="http://schemas.microsoft.com/office/word/2010/wordprocessingShape">
                    <wps:wsp>
                      <wps:cNvCnPr/>
                      <wps:spPr>
                        <a:xfrm>
                          <a:off x="0" y="0"/>
                          <a:ext cx="5334000" cy="635"/>
                        </a:xfrm>
                        <a:prstGeom prst="line">
                          <a:avLst/>
                        </a:prstGeom>
                        <a:ln w="9525" cap="flat" cmpd="sng">
                          <a:solidFill>
                            <a:srgbClr val="00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margin-left:-0.4pt;margin-top:0.5pt;height:0.05pt;width:420pt;z-index:251659264;mso-width-relative:page;mso-height-relative:page;" filled="f" stroked="t" coordsize="21600,21600" o:gfxdata="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AAAAAZHJzL1BLAQIUABQA&#10;AAAIAIdO4kAI9FLO0gAAAAUBAAAPAAAAAAAAAAEAIAAAACIAAABkcnMvZG93bnJldi54bWxQSwEC&#10;FAAUAAAACACHTuJAa7W3M/oBAAD0AwAADgAAAAAAAAABACAAAAAhAQAAZHJzL2Uyb0RvYy54bWxQ&#10;SwUGAAAAAAYABgBZAQAAjQUAAAAA&#10;">
                <v:fill on="f" focussize="0,0"/>
                <v:stroke color="#000000" joinstyle="round"/>
                <v:imagedata o:title=""/>
                <o:lock v:ext="edit" aspectratio="f"/>
              </v:line>
            </w:pict>
          </mc:Fallback>
        </mc:AlternateContent>
      </w:r>
      <w:r>
        <w:rPr>
          <w:rFonts w:hint="eastAsia" w:ascii="仿宋_GB2312" w:hAnsi="仿宋_GB2312" w:eastAsia="仿宋_GB2312" w:cs="仿宋_GB2312"/>
          <w:color w:val="000000" w:themeColor="text1"/>
          <w:kern w:val="2"/>
          <w:sz w:val="32"/>
          <w:szCs w:val="32"/>
          <w:lang w:val="en-US" w:eastAsia="zh-CN" w:bidi="ar"/>
          <w14:textFill>
            <w14:solidFill>
              <w14:schemeClr w14:val="tx1"/>
            </w14:solidFill>
          </w14:textFill>
        </w:rPr>
        <w:t xml:space="preserve">冠县人民政府办公室      </w:t>
      </w:r>
      <w:r>
        <w:rPr>
          <w:rFonts w:hint="eastAsia" w:ascii="仿宋_GB2312" w:hAnsi="仿宋_GB2312" w:cs="仿宋_GB2312"/>
          <w:color w:val="000000" w:themeColor="text1"/>
          <w:kern w:val="2"/>
          <w:sz w:val="32"/>
          <w:szCs w:val="32"/>
          <w:lang w:val="en-US" w:eastAsia="zh-CN" w:bidi="ar"/>
          <w14:textFill>
            <w14:solidFill>
              <w14:schemeClr w14:val="tx1"/>
            </w14:solidFill>
          </w14:textFill>
        </w:rPr>
        <w:t xml:space="preserve"> </w:t>
      </w:r>
      <w:r>
        <w:rPr>
          <w:rFonts w:hint="eastAsia" w:ascii="仿宋_GB2312" w:hAnsi="仿宋_GB2312" w:eastAsia="仿宋_GB2312" w:cs="仿宋_GB2312"/>
          <w:color w:val="000000" w:themeColor="text1"/>
          <w:kern w:val="2"/>
          <w:sz w:val="32"/>
          <w:szCs w:val="32"/>
          <w:lang w:val="en-US" w:eastAsia="zh-CN" w:bidi="ar"/>
          <w14:textFill>
            <w14:solidFill>
              <w14:schemeClr w14:val="tx1"/>
            </w14:solidFill>
          </w14:textFill>
        </w:rPr>
        <w:t xml:space="preserve">       2024年</w:t>
      </w:r>
      <w:r>
        <w:rPr>
          <w:rFonts w:hint="eastAsia" w:ascii="仿宋_GB2312" w:hAnsi="仿宋_GB2312" w:cs="仿宋_GB2312"/>
          <w:color w:val="000000" w:themeColor="text1"/>
          <w:kern w:val="2"/>
          <w:sz w:val="32"/>
          <w:szCs w:val="32"/>
          <w:lang w:val="en-US" w:eastAsia="zh-CN" w:bidi="ar"/>
          <w14:textFill>
            <w14:solidFill>
              <w14:schemeClr w14:val="tx1"/>
            </w14:solidFill>
          </w14:textFill>
        </w:rPr>
        <w:t>7</w:t>
      </w:r>
      <w:r>
        <w:rPr>
          <w:rFonts w:hint="eastAsia" w:ascii="仿宋_GB2312" w:hAnsi="仿宋_GB2312" w:eastAsia="仿宋_GB2312" w:cs="仿宋_GB2312"/>
          <w:color w:val="000000" w:themeColor="text1"/>
          <w:kern w:val="2"/>
          <w:sz w:val="32"/>
          <w:szCs w:val="32"/>
          <w:lang w:val="en-US" w:eastAsia="zh-CN" w:bidi="ar"/>
          <w14:textFill>
            <w14:solidFill>
              <w14:schemeClr w14:val="tx1"/>
            </w14:solidFill>
          </w14:textFill>
        </w:rPr>
        <w:t>月</w:t>
      </w:r>
      <w:r>
        <w:rPr>
          <w:rFonts w:hint="eastAsia" w:ascii="仿宋_GB2312" w:hAnsi="仿宋_GB2312" w:cs="仿宋_GB2312"/>
          <w:color w:val="000000" w:themeColor="text1"/>
          <w:kern w:val="2"/>
          <w:sz w:val="32"/>
          <w:szCs w:val="32"/>
          <w:lang w:val="en-US" w:eastAsia="zh-CN" w:bidi="ar"/>
          <w14:textFill>
            <w14:solidFill>
              <w14:schemeClr w14:val="tx1"/>
            </w14:solidFill>
          </w14:textFill>
        </w:rPr>
        <w:t>3</w:t>
      </w:r>
      <w:r>
        <w:rPr>
          <w:rFonts w:hint="eastAsia" w:ascii="仿宋_GB2312" w:hAnsi="仿宋_GB2312" w:eastAsia="仿宋_GB2312" w:cs="仿宋_GB2312"/>
          <w:color w:val="000000" w:themeColor="text1"/>
          <w:kern w:val="2"/>
          <w:sz w:val="32"/>
          <w:szCs w:val="32"/>
          <w:lang w:val="en-US" w:eastAsia="zh-CN" w:bidi="ar"/>
          <w14:textFill>
            <w14:solidFill>
              <w14:schemeClr w14:val="tx1"/>
            </w14:solidFill>
          </w14:textFill>
        </w:rPr>
        <w:t>日印发</w:t>
      </w:r>
    </w:p>
    <w:p>
      <w:pPr>
        <w:keepNext w:val="0"/>
        <w:keepLines w:val="0"/>
        <w:pageBreakBefore w:val="0"/>
        <w:widowControl w:val="0"/>
        <w:kinsoku/>
        <w:wordWrap/>
        <w:overflowPunct/>
        <w:topLinePunct w:val="0"/>
        <w:autoSpaceDE/>
        <w:autoSpaceDN/>
        <w:bidi w:val="0"/>
        <w:adjustRightInd/>
        <w:snapToGrid/>
        <w:spacing w:line="640" w:lineRule="exact"/>
        <w:ind w:firstLine="6300" w:firstLineChars="3000"/>
        <w:jc w:val="left"/>
        <w:textAlignment w:val="auto"/>
        <w:rPr>
          <w:rFonts w:hint="eastAsia" w:ascii="仿宋_GB2312" w:hAnsi="仿宋_GB2312" w:eastAsia="仿宋_GB2312" w:cs="仿宋_GB2312"/>
          <w:b w:val="0"/>
          <w:color w:val="000000" w:themeColor="text1"/>
          <w:sz w:val="32"/>
          <w:szCs w:val="32"/>
          <w:lang w:val="en-US" w:eastAsia="zh-CN"/>
          <w14:textFill>
            <w14:solidFill>
              <w14:schemeClr w14:val="tx1"/>
            </w14:solidFill>
          </w14:textFill>
        </w:rPr>
      </w:pPr>
      <w:r>
        <w:rPr>
          <w:color w:val="000000" w:themeColor="text1"/>
          <w:lang w:eastAsia="zh-CN"/>
          <w14:textFill>
            <w14:solidFill>
              <w14:schemeClr w14:val="tx1"/>
            </w14:solidFill>
          </w14:textFill>
        </w:rPr>
        <mc:AlternateContent>
          <mc:Choice Requires="wps">
            <w:drawing>
              <wp:anchor distT="0" distB="0" distL="114300" distR="114300" simplePos="0" relativeHeight="251660288" behindDoc="0" locked="0" layoutInCell="1" allowOverlap="1">
                <wp:simplePos x="0" y="0"/>
                <wp:positionH relativeFrom="column">
                  <wp:posOffset>635</wp:posOffset>
                </wp:positionH>
                <wp:positionV relativeFrom="paragraph">
                  <wp:posOffset>26670</wp:posOffset>
                </wp:positionV>
                <wp:extent cx="5334000" cy="635"/>
                <wp:effectExtent l="0" t="0" r="0" b="0"/>
                <wp:wrapNone/>
                <wp:docPr id="3" name="直接连接符 3"/>
                <wp:cNvGraphicFramePr/>
                <a:graphic xmlns:a="http://schemas.openxmlformats.org/drawingml/2006/main">
                  <a:graphicData uri="http://schemas.microsoft.com/office/word/2010/wordprocessingShape">
                    <wps:wsp>
                      <wps:cNvCnPr/>
                      <wps:spPr>
                        <a:xfrm>
                          <a:off x="0" y="0"/>
                          <a:ext cx="5334000" cy="635"/>
                        </a:xfrm>
                        <a:prstGeom prst="line">
                          <a:avLst/>
                        </a:prstGeom>
                        <a:ln w="9525" cap="flat" cmpd="sng">
                          <a:solidFill>
                            <a:srgbClr val="00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margin-left:0.05pt;margin-top:2.1pt;height:0.05pt;width:420pt;z-index:251660288;mso-width-relative:page;mso-height-relative:page;" filled="f" stroked="t" coordsize="21600,21600" o:gfxdata="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LDP2bTRAAAABAEAAA8AAAAAAAAAAQAgAAAAIgAAAGRycy9kb3ducmV2LnhtbFBLAQIU&#10;ABQAAAAIAIdO4kBrQ5w7+gEAAPQDAAAOAAAAAAAAAAEAIAAAACABAABkcnMvZTJvRG9jLnhtbFBL&#10;BQYAAAAABgAGAFkBAACMBQAAAAA=&#10;">
                <v:fill on="f" focussize="0,0"/>
                <v:stroke color="#000000" joinstyle="round"/>
                <v:imagedata o:title=""/>
                <o:lock v:ext="edit" aspectratio="f"/>
              </v:line>
            </w:pict>
          </mc:Fallback>
        </mc:AlternateContent>
      </w:r>
      <w:r>
        <w:rPr>
          <w:rFonts w:hint="eastAsia" w:ascii="仿宋_GB2312" w:hAnsi="仿宋_GB2312" w:eastAsia="仿宋_GB2312" w:cs="仿宋_GB2312"/>
          <w:b w:val="0"/>
          <w:color w:val="000000" w:themeColor="text1"/>
          <w:sz w:val="32"/>
          <w:szCs w:val="32"/>
          <w:lang w:eastAsia="zh-CN"/>
          <w14:textFill>
            <w14:solidFill>
              <w14:schemeClr w14:val="tx1"/>
            </w14:solidFill>
          </w14:textFill>
        </w:rPr>
        <w:t>（共印</w:t>
      </w:r>
      <w:r>
        <w:rPr>
          <w:rFonts w:hint="eastAsia" w:ascii="仿宋_GB2312" w:hAnsi="仿宋_GB2312" w:eastAsia="仿宋_GB2312" w:cs="仿宋_GB2312"/>
          <w:b w:val="0"/>
          <w:color w:val="000000" w:themeColor="text1"/>
          <w:sz w:val="32"/>
          <w:szCs w:val="32"/>
          <w:lang w:val="en-US" w:eastAsia="zh-CN"/>
          <w14:textFill>
            <w14:solidFill>
              <w14:schemeClr w14:val="tx1"/>
            </w14:solidFill>
          </w14:textFill>
        </w:rPr>
        <w:t>20</w:t>
      </w:r>
      <w:r>
        <w:rPr>
          <w:rFonts w:hint="eastAsia" w:ascii="仿宋_GB2312" w:hAnsi="仿宋_GB2312" w:eastAsia="仿宋_GB2312" w:cs="仿宋_GB2312"/>
          <w:b w:val="0"/>
          <w:color w:val="000000" w:themeColor="text1"/>
          <w:sz w:val="32"/>
          <w:szCs w:val="32"/>
          <w:lang w:eastAsia="zh-CN"/>
          <w14:textFill>
            <w14:solidFill>
              <w14:schemeClr w14:val="tx1"/>
            </w14:solidFill>
          </w14:textFill>
        </w:rPr>
        <w:t>份）</w:t>
      </w:r>
    </w:p>
    <w:sectPr>
      <w:footerReference r:id="rId3" w:type="default"/>
      <w:pgSz w:w="11906" w:h="16838"/>
      <w:pgMar w:top="1701" w:right="1701" w:bottom="1701" w:left="1701" w:header="851" w:footer="1417" w:gutter="0"/>
      <w:paperSrc/>
      <w:pgNumType w:fmt="numberInDash"/>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方正大标宋简体">
    <w:panose1 w:val="02010601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4"/>
                          </w:pP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PAGE  \* MERGEFORMAT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sz w:val="24"/>
                              <w:szCs w:val="24"/>
                            </w:rPr>
                            <w:t>- 1 -</w:t>
                          </w:r>
                          <w:r>
                            <w:rPr>
                              <w:rFonts w:hint="eastAsia" w:asciiTheme="minorEastAsia" w:hAnsiTheme="minorEastAsia" w:eastAsiaTheme="minorEastAsia" w:cstheme="minorEastAsia"/>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LNJWO7QAAAABQEAAA8AAAAAAAAAAQAgAAAAIgAAAGRycy9kb3ducmV2LnhtbFBLAQIUABQA&#10;AAAIAIdO4kAqZhe+3AIAACQGAAAOAAAAAAAAAAEAIAAAAB8BAABkcnMvZTJvRG9jLnhtbFBLBQYA&#10;AAAABgAGAFkBAABtBgAAAAA=&#10;">
              <v:fill on="f" focussize="0,0"/>
              <v:stroke on="f" weight="0.5pt"/>
              <v:imagedata o:title=""/>
              <o:lock v:ext="edit" aspectratio="f"/>
              <v:textbox inset="0mm,0mm,0mm,0mm" style="mso-fit-shape-to-text:t;">
                <w:txbxContent>
                  <w:p>
                    <w:pPr>
                      <w:pStyle w:val="4"/>
                    </w:pP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PAGE  \* MERGEFORMAT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sz w:val="24"/>
                        <w:szCs w:val="24"/>
                      </w:rPr>
                      <w:t>- 1 -</w:t>
                    </w:r>
                    <w:r>
                      <w:rPr>
                        <w:rFonts w:hint="eastAsia" w:asciiTheme="minorEastAsia" w:hAnsiTheme="minorEastAsia" w:eastAsiaTheme="minorEastAsia" w:cstheme="minorEastAsia"/>
                        <w:sz w:val="24"/>
                        <w:szCs w:val="24"/>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hlMDIxODUxZjAzNTk4Yjc2NzUzOWEzMjM4YWIzMGUifQ=="/>
  </w:docVars>
  <w:rsids>
    <w:rsidRoot w:val="2E846125"/>
    <w:rsid w:val="000C4827"/>
    <w:rsid w:val="041934BA"/>
    <w:rsid w:val="0AA6790D"/>
    <w:rsid w:val="0D977D48"/>
    <w:rsid w:val="0F510298"/>
    <w:rsid w:val="191B0AB0"/>
    <w:rsid w:val="2D40078D"/>
    <w:rsid w:val="2E846125"/>
    <w:rsid w:val="320B6D12"/>
    <w:rsid w:val="40522180"/>
    <w:rsid w:val="43156185"/>
    <w:rsid w:val="4A19725F"/>
    <w:rsid w:val="4D4E0C78"/>
    <w:rsid w:val="54C82495"/>
    <w:rsid w:val="61F20541"/>
    <w:rsid w:val="63AD1E9D"/>
    <w:rsid w:val="694708C4"/>
    <w:rsid w:val="6ACE7A68"/>
    <w:rsid w:val="717739F7"/>
    <w:rsid w:val="7232346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unhideWhenUsed/>
    <w:qFormat/>
    <w:uiPriority w:val="0"/>
    <w:pPr>
      <w:keepNext/>
      <w:keepLines/>
      <w:spacing w:before="260" w:after="260" w:line="413" w:lineRule="auto"/>
      <w:outlineLvl w:val="2"/>
    </w:pPr>
    <w:rPr>
      <w:b/>
      <w:sz w:val="32"/>
    </w:rPr>
  </w:style>
  <w:style w:type="character" w:default="1" w:styleId="8">
    <w:name w:val="Default Paragraph Font"/>
    <w:semiHidden/>
    <w:qFormat/>
    <w:uiPriority w:val="0"/>
  </w:style>
  <w:style w:type="table" w:default="1" w:styleId="7">
    <w:name w:val="Normal Table"/>
    <w:autoRedefine/>
    <w:semiHidden/>
    <w:qFormat/>
    <w:uiPriority w:val="0"/>
    <w:tblPr>
      <w:tblCellMar>
        <w:top w:w="0" w:type="dxa"/>
        <w:left w:w="108" w:type="dxa"/>
        <w:bottom w:w="0" w:type="dxa"/>
        <w:right w:w="108" w:type="dxa"/>
      </w:tblCellMar>
    </w:tblPr>
  </w:style>
  <w:style w:type="paragraph" w:styleId="3">
    <w:name w:val="Plain Text"/>
    <w:basedOn w:val="1"/>
    <w:autoRedefine/>
    <w:qFormat/>
    <w:uiPriority w:val="99"/>
    <w:pPr>
      <w:suppressAutoHyphens/>
    </w:pPr>
    <w:rPr>
      <w:rFonts w:ascii="宋体" w:hAnsi="宋体" w:cs="Courier New"/>
      <w:sz w:val="20"/>
      <w:szCs w:val="21"/>
    </w:rPr>
  </w:style>
  <w:style w:type="paragraph" w:styleId="4">
    <w:name w:val="footer"/>
    <w:basedOn w:val="1"/>
    <w:qFormat/>
    <w:uiPriority w:val="0"/>
    <w:pPr>
      <w:tabs>
        <w:tab w:val="center" w:pos="4153"/>
        <w:tab w:val="right" w:pos="8306"/>
      </w:tabs>
      <w:snapToGrid w:val="0"/>
      <w:jc w:val="left"/>
    </w:pPr>
    <w:rPr>
      <w:sz w:val="18"/>
      <w:szCs w:val="18"/>
    </w:rPr>
  </w:style>
  <w:style w:type="paragraph" w:styleId="5">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Normal (Web)"/>
    <w:basedOn w:val="1"/>
    <w:qFormat/>
    <w:uiPriority w:val="0"/>
    <w:pPr>
      <w:spacing w:before="0" w:beforeAutospacing="1" w:after="0" w:afterAutospacing="1"/>
      <w:ind w:left="0" w:right="0"/>
      <w:jc w:val="left"/>
    </w:pPr>
    <w:rPr>
      <w:kern w:val="0"/>
      <w:sz w:val="24"/>
      <w:lang w:val="en-US" w:eastAsia="zh-CN" w:bidi="ar"/>
    </w:rPr>
  </w:style>
  <w:style w:type="character" w:styleId="9">
    <w:name w:val="Strong"/>
    <w:basedOn w:val="8"/>
    <w:qFormat/>
    <w:uiPriority w:val="0"/>
    <w:rPr>
      <w:b/>
    </w:rPr>
  </w:style>
  <w:style w:type="paragraph" w:customStyle="1" w:styleId="10">
    <w:name w:val="TOC1"/>
    <w:basedOn w:val="1"/>
    <w:next w:val="1"/>
    <w:autoRedefine/>
    <w:qFormat/>
    <w:uiPriority w:val="0"/>
    <w:pPr>
      <w:snapToGrid w:val="0"/>
      <w:spacing w:line="640" w:lineRule="exact"/>
      <w:ind w:firstLine="705"/>
    </w:pPr>
    <w:rPr>
      <w:rFonts w:ascii="仿宋_GB2312" w:eastAsia="仿宋_GB2312" w:cs="仿宋_GB2312"/>
      <w:sz w:val="36"/>
      <w:szCs w:val="36"/>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747</Words>
  <Characters>788</Characters>
  <Lines>0</Lines>
  <Paragraphs>0</Paragraphs>
  <TotalTime>40</TotalTime>
  <ScaleCrop>false</ScaleCrop>
  <LinksUpToDate>false</LinksUpToDate>
  <CharactersWithSpaces>813</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2022-04-06T02:43:00Z</dcterms:created>
  <dc:creator>奋斗</dc:creator>
  <cp:lastModifiedBy>皓雪</cp:lastModifiedBy>
  <cp:lastPrinted>2024-07-03T09:51:58Z</cp:lastPrinted>
  <dcterms:modified xsi:type="dcterms:W3CDTF">2024-07-03T10:26:15Z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83643C9CB4A244238231CA28A9FA50AF_13</vt:lpwstr>
  </property>
</Properties>
</file>